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eastAsia="黑体" w:cs="Times New Roman"/>
        </w:rPr>
      </w:pPr>
      <w:r>
        <w:rPr>
          <w:rFonts w:hint="default" w:ascii="Times New Roman" w:hAnsi="Times New Roman" w:eastAsia="黑体" w:cs="Times New Roman"/>
        </w:rPr>
        <w:t>附件3</w:t>
      </w:r>
    </w:p>
    <w:p>
      <w:pPr>
        <w:ind w:firstLine="224" w:firstLineChars="0"/>
        <w:jc w:val="center"/>
        <w:rPr>
          <w:rFonts w:hint="default" w:ascii="Times New Roman" w:hAnsi="Times New Roman" w:eastAsia="方正小标宋_GBK" w:cs="Times New Roman"/>
          <w:sz w:val="44"/>
          <w:szCs w:val="44"/>
        </w:rPr>
      </w:pPr>
      <w:bookmarkStart w:id="0" w:name="_Hlk142298420"/>
      <w:r>
        <w:rPr>
          <w:rFonts w:hint="default" w:ascii="Times New Roman" w:hAnsi="Times New Roman" w:eastAsia="方正小标宋_GBK" w:cs="Times New Roman"/>
          <w:sz w:val="44"/>
          <w:szCs w:val="44"/>
        </w:rPr>
        <w:t>中原区“十四五”时期“无废城市”建设任务清单</w:t>
      </w:r>
    </w:p>
    <w:p>
      <w:pPr>
        <w:ind w:firstLine="560"/>
        <w:jc w:val="center"/>
        <w:rPr>
          <w:rFonts w:hint="default" w:ascii="Times New Roman" w:hAnsi="Times New Roman" w:eastAsia="方正黑体_GBK" w:cs="Times New Roman"/>
          <w:sz w:val="28"/>
          <w:szCs w:val="21"/>
        </w:rPr>
      </w:pPr>
      <w:r>
        <w:rPr>
          <w:rFonts w:hint="default" w:ascii="Times New Roman" w:hAnsi="Times New Roman" w:eastAsia="方正黑体_GBK" w:cs="Times New Roman"/>
          <w:sz w:val="28"/>
          <w:szCs w:val="21"/>
        </w:rPr>
        <w:t>表1 “无废城市”制度体系建设任务清单及进度安排</w:t>
      </w:r>
    </w:p>
    <w:tbl>
      <w:tblPr>
        <w:tblStyle w:val="5"/>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08"/>
        <w:gridCol w:w="52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04" w:type="dxa"/>
            <w:shd w:val="clear" w:color="auto" w:fill="auto"/>
          </w:tcPr>
          <w:p>
            <w:pPr>
              <w:widowControl/>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6208" w:type="dxa"/>
            <w:shd w:val="clear" w:color="auto" w:fill="auto"/>
          </w:tcPr>
          <w:p>
            <w:pPr>
              <w:widowControl/>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任务清单</w:t>
            </w:r>
          </w:p>
        </w:tc>
        <w:tc>
          <w:tcPr>
            <w:tcW w:w="5274" w:type="dxa"/>
            <w:shd w:val="clear" w:color="auto" w:fill="auto"/>
          </w:tcPr>
          <w:p>
            <w:pPr>
              <w:widowControl/>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责任主体</w:t>
            </w:r>
          </w:p>
        </w:tc>
        <w:tc>
          <w:tcPr>
            <w:tcW w:w="1701" w:type="dxa"/>
            <w:shd w:val="clear" w:color="auto" w:fill="auto"/>
          </w:tcPr>
          <w:p>
            <w:pPr>
              <w:widowControl/>
              <w:spacing w:line="240" w:lineRule="auto"/>
              <w:ind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shd w:val="clear" w:color="auto" w:fill="auto"/>
          </w:tcPr>
          <w:p>
            <w:pPr>
              <w:widowControl/>
              <w:spacing w:line="240" w:lineRule="auto"/>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领导机制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设立“无废城市”领导小组</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区委区政府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设立“无废城市”领导小组工作专班</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区委区政府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制定“无废城市”建设考核机制，将建设成效纳入政绩考核</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区无废办</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保障“无废城市”建设用地</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0"/>
              </w:rPr>
              <w:t>市资源规划局中原分局</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定期开展中小学“无废城市”建设课外实践活动</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区委宣传部、区教育局牵头、“无废城市”领导小组成员单位配合</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推送“无废城市”建设公益广告</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区城市管理局、区委宣传部牵头，区文化广电和旅游局配合</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加大宣传力度，营造“无废文化”氛围</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区城市管理局、区委宣传部牵头，区文化广电和旅游局配合</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8</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培育“无废细胞”</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“无废城市”领导小组成员单位</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6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开展限塑、光盘、净菜进城等行动</w:t>
            </w:r>
          </w:p>
        </w:tc>
        <w:tc>
          <w:tcPr>
            <w:tcW w:w="52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区商务局、区城市管理局、区市场监督管理局</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widowControl/>
              <w:spacing w:line="240" w:lineRule="auto"/>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10</w:t>
            </w:r>
          </w:p>
        </w:tc>
        <w:tc>
          <w:tcPr>
            <w:tcW w:w="6208" w:type="dxa"/>
            <w:shd w:val="clear" w:color="auto" w:fill="auto"/>
            <w:vAlign w:val="center"/>
          </w:tcPr>
          <w:p>
            <w:pPr>
              <w:widowControl/>
              <w:spacing w:line="240" w:lineRule="auto"/>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推进绿色商场建设</w:t>
            </w:r>
          </w:p>
        </w:tc>
        <w:tc>
          <w:tcPr>
            <w:tcW w:w="5274" w:type="dxa"/>
            <w:shd w:val="clear" w:color="auto" w:fill="auto"/>
            <w:vAlign w:val="center"/>
          </w:tcPr>
          <w:p>
            <w:pPr>
              <w:widowControl/>
              <w:spacing w:line="240" w:lineRule="auto"/>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区商务局、区城市管理局、区市场监督管理局</w:t>
            </w:r>
          </w:p>
        </w:tc>
        <w:tc>
          <w:tcPr>
            <w:tcW w:w="1701" w:type="dxa"/>
            <w:shd w:val="clear" w:color="auto" w:fill="auto"/>
            <w:vAlign w:val="center"/>
          </w:tcPr>
          <w:p>
            <w:pPr>
              <w:widowControl/>
              <w:spacing w:line="240" w:lineRule="auto"/>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2025年12月</w:t>
            </w:r>
          </w:p>
        </w:tc>
      </w:tr>
    </w:tbl>
    <w:p>
      <w:pPr>
        <w:ind w:firstLine="560"/>
        <w:jc w:val="center"/>
        <w:rPr>
          <w:rFonts w:hint="default" w:ascii="Times New Roman" w:hAnsi="Times New Roman" w:eastAsia="方正黑体_GBK" w:cs="Times New Roman"/>
          <w:sz w:val="28"/>
          <w:szCs w:val="21"/>
        </w:rPr>
      </w:pPr>
      <w:r>
        <w:rPr>
          <w:rFonts w:hint="default" w:ascii="Times New Roman" w:hAnsi="Times New Roman" w:eastAsia="方正黑体_GBK" w:cs="Times New Roman"/>
          <w:sz w:val="28"/>
          <w:szCs w:val="21"/>
        </w:rPr>
        <w:t>表2 “无废城市”市场体系建设任务清单及进度安排</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394"/>
        <w:gridCol w:w="4081"/>
        <w:gridCol w:w="2089"/>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703"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序号</w:t>
            </w:r>
          </w:p>
        </w:tc>
        <w:tc>
          <w:tcPr>
            <w:tcW w:w="4394"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任务清单</w:t>
            </w:r>
          </w:p>
        </w:tc>
        <w:tc>
          <w:tcPr>
            <w:tcW w:w="4081"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主要作用</w:t>
            </w:r>
          </w:p>
        </w:tc>
        <w:tc>
          <w:tcPr>
            <w:tcW w:w="2089"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责任主体</w:t>
            </w:r>
          </w:p>
        </w:tc>
        <w:tc>
          <w:tcPr>
            <w:tcW w:w="2681"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70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1</w:t>
            </w:r>
          </w:p>
        </w:tc>
        <w:tc>
          <w:tcPr>
            <w:tcW w:w="4394"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探索推进装修垃圾资源化利用补贴政策</w:t>
            </w:r>
          </w:p>
        </w:tc>
        <w:tc>
          <w:tcPr>
            <w:tcW w:w="408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提升装修垃圾资源化利用水平</w:t>
            </w:r>
          </w:p>
        </w:tc>
        <w:tc>
          <w:tcPr>
            <w:tcW w:w="208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268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2</w:t>
            </w:r>
          </w:p>
        </w:tc>
        <w:tc>
          <w:tcPr>
            <w:tcW w:w="4394"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危险废物经营单位环境污染责任保险</w:t>
            </w:r>
          </w:p>
        </w:tc>
        <w:tc>
          <w:tcPr>
            <w:tcW w:w="408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落实新建危险废物经营单位投保环境污染责任保险</w:t>
            </w:r>
          </w:p>
        </w:tc>
        <w:tc>
          <w:tcPr>
            <w:tcW w:w="208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268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0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3</w:t>
            </w:r>
          </w:p>
        </w:tc>
        <w:tc>
          <w:tcPr>
            <w:tcW w:w="4394"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完善公共机关绿色采购目录</w:t>
            </w:r>
          </w:p>
        </w:tc>
        <w:tc>
          <w:tcPr>
            <w:tcW w:w="408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保证公共消费符合绿色消费的要求，促进环境绿色产品应用</w:t>
            </w:r>
          </w:p>
        </w:tc>
        <w:tc>
          <w:tcPr>
            <w:tcW w:w="208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区财政局</w:t>
            </w:r>
          </w:p>
        </w:tc>
        <w:tc>
          <w:tcPr>
            <w:tcW w:w="268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2025年12月</w:t>
            </w:r>
          </w:p>
        </w:tc>
      </w:tr>
    </w:tbl>
    <w:p>
      <w:pPr>
        <w:ind w:firstLine="560"/>
        <w:jc w:val="center"/>
        <w:rPr>
          <w:rFonts w:hint="default" w:ascii="Times New Roman" w:hAnsi="Times New Roman" w:eastAsia="方正黑体_GBK" w:cs="Times New Roman"/>
          <w:sz w:val="28"/>
          <w:szCs w:val="21"/>
        </w:rPr>
      </w:pPr>
      <w:r>
        <w:rPr>
          <w:rFonts w:hint="default" w:ascii="Times New Roman" w:hAnsi="Times New Roman" w:eastAsia="方正黑体_GBK" w:cs="Times New Roman"/>
          <w:sz w:val="28"/>
          <w:szCs w:val="21"/>
        </w:rPr>
        <w:t>表3 “无废城市”监管体系建设任务清单及进度安排</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473"/>
        <w:gridCol w:w="5621"/>
        <w:gridCol w:w="1995"/>
      </w:tblGrid>
      <w:tr>
        <w:tblPrEx>
          <w:tblLayout w:type="fixed"/>
          <w:tblCellMar>
            <w:top w:w="0" w:type="dxa"/>
            <w:left w:w="108" w:type="dxa"/>
            <w:bottom w:w="0" w:type="dxa"/>
            <w:right w:w="108" w:type="dxa"/>
          </w:tblCellMar>
        </w:tblPrEx>
        <w:trPr>
          <w:trHeight w:val="567" w:hRule="atLeast"/>
          <w:tblHeader/>
        </w:trPr>
        <w:tc>
          <w:tcPr>
            <w:tcW w:w="859"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序号</w:t>
            </w:r>
          </w:p>
        </w:tc>
        <w:tc>
          <w:tcPr>
            <w:tcW w:w="5473"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任务清单</w:t>
            </w:r>
          </w:p>
        </w:tc>
        <w:tc>
          <w:tcPr>
            <w:tcW w:w="5621"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责任主体</w:t>
            </w:r>
          </w:p>
        </w:tc>
        <w:tc>
          <w:tcPr>
            <w:tcW w:w="1995" w:type="dxa"/>
            <w:shd w:val="clear" w:color="auto" w:fill="auto"/>
            <w:vAlign w:val="center"/>
          </w:tcPr>
          <w:p>
            <w:pPr>
              <w:widowControl/>
              <w:spacing w:line="240" w:lineRule="auto"/>
              <w:ind w:firstLine="0" w:firstLineChars="0"/>
              <w:jc w:val="center"/>
              <w:rPr>
                <w:rFonts w:hint="default" w:ascii="黑体" w:hAnsi="黑体" w:eastAsia="黑体" w:cs="黑体"/>
                <w:b w:val="0"/>
                <w:bCs w:val="0"/>
                <w:kern w:val="0"/>
                <w:sz w:val="24"/>
                <w:szCs w:val="24"/>
              </w:rPr>
            </w:pPr>
            <w:r>
              <w:rPr>
                <w:rFonts w:hint="default" w:ascii="黑体" w:hAnsi="黑体" w:eastAsia="黑体" w:cs="黑体"/>
                <w:b w:val="0"/>
                <w:bCs w:val="0"/>
                <w:kern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1</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强化纳入危险废物全生命周期监控系统的重点涉废企业视频联网情况监管</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2</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强化固体废物环境污染刑事案件立案管理</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中原公安分局、市生态环境局中原分局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3</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将固体废物相关企业纳入企业环境信用评价范围</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4</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探索排污许可“一证式”管理，将固体废物纳入排污许可证管理范围，向所有排污企业发放许可证</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5</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开展一般工业固体废物申报统计专项排查</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6</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开展“清废行动”专项整治行动</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7</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开展建筑垃圾运输处置专项整治行动</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区城市管理局牵头，市公安局中原分局配合</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8</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开展存量建筑垃圾贮存场所专项检查行动</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区城市管理局，市公安局中原分局配合</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9</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开展关于推动城乡建设绿色发展相关工作行动</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区城乡建设局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10</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深入推进生活垃圾分类专项行动</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11</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持续开展小量危废收集试点行动</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9"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12</w:t>
            </w:r>
          </w:p>
        </w:tc>
        <w:tc>
          <w:tcPr>
            <w:tcW w:w="5473"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配合郑州市生态环境局推进市级固体废物信息化监管集成平台应用</w:t>
            </w:r>
          </w:p>
        </w:tc>
        <w:tc>
          <w:tcPr>
            <w:tcW w:w="5621"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市生态环境局中原分局牵头，区城市管理局、区城乡建设局配合</w:t>
            </w:r>
          </w:p>
        </w:tc>
        <w:tc>
          <w:tcPr>
            <w:tcW w:w="1995" w:type="dxa"/>
            <w:vAlign w:val="center"/>
          </w:tcPr>
          <w:p>
            <w:pPr>
              <w:widowControl/>
              <w:spacing w:line="240" w:lineRule="auto"/>
              <w:ind w:firstLine="0" w:firstLineChars="0"/>
              <w:jc w:val="center"/>
              <w:rPr>
                <w:rFonts w:hint="default" w:ascii="Times New Roman" w:hAnsi="Times New Roman" w:cs="Times New Roman"/>
                <w:kern w:val="0"/>
                <w:sz w:val="24"/>
                <w:szCs w:val="20"/>
              </w:rPr>
            </w:pPr>
            <w:r>
              <w:rPr>
                <w:rFonts w:hint="default" w:ascii="Times New Roman" w:hAnsi="Times New Roman" w:cs="Times New Roman"/>
                <w:kern w:val="0"/>
                <w:sz w:val="24"/>
                <w:szCs w:val="20"/>
              </w:rPr>
              <w:t>2025年12月</w:t>
            </w:r>
          </w:p>
        </w:tc>
      </w:tr>
      <w:bookmarkEnd w:id="0"/>
    </w:tbl>
    <w:p>
      <w:bookmarkStart w:id="1" w:name="_GoBack"/>
      <w:bookmarkEnd w:id="1"/>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62DCE"/>
    <w:rsid w:val="557E64C7"/>
    <w:rsid w:val="6A16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imes New Roman"/>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华文中宋" w:eastAsia="华文中宋"/>
      <w:b/>
      <w:bCs/>
      <w:sz w:val="44"/>
      <w:szCs w:val="36"/>
    </w:rPr>
  </w:style>
  <w:style w:type="table" w:customStyle="1" w:styleId="5">
    <w:name w:val="网格型1"/>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2023-10-10T08:19:00Z</dcterms:created>
  <dc:creator>Administrator</dc:creator>
  <cp:lastModifiedBy>Administrator</cp:lastModifiedBy>
  <dcterms:modified xsi:type="dcterms:W3CDTF">2023-10-10T08:19:49Z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