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219" w:afterLines="50"/>
        <w:ind w:left="0" w:leftChars="0" w:firstLine="0" w:firstLineChars="0"/>
        <w:textAlignment w:val="auto"/>
        <w:rPr>
          <w:rFonts w:hint="default" w:ascii="Times New Roman" w:hAnsi="Times New Roman" w:eastAsia="黑体" w:cs="Times New Roman"/>
        </w:rPr>
      </w:pPr>
      <w:r>
        <w:rPr>
          <w:rFonts w:hint="default" w:ascii="Times New Roman" w:hAnsi="Times New Roman" w:eastAsia="黑体" w:cs="Times New Roman"/>
        </w:rPr>
        <w:t>附件4</w:t>
      </w:r>
    </w:p>
    <w:p>
      <w:pPr>
        <w:keepNext w:val="0"/>
        <w:keepLines w:val="0"/>
        <w:pageBreakBefore w:val="0"/>
        <w:widowControl w:val="0"/>
        <w:kinsoku/>
        <w:wordWrap/>
        <w:overflowPunct/>
        <w:topLinePunct w:val="0"/>
        <w:autoSpaceDE/>
        <w:autoSpaceDN/>
        <w:bidi w:val="0"/>
        <w:adjustRightInd/>
        <w:snapToGrid/>
        <w:spacing w:after="219" w:afterLines="50"/>
        <w:ind w:firstLine="224"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中原区“十四五”时期“无废城市”建设责任清单</w:t>
      </w:r>
    </w:p>
    <w:tbl>
      <w:tblPr>
        <w:tblStyle w:val="5"/>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606"/>
        <w:gridCol w:w="1813"/>
        <w:gridCol w:w="5760"/>
        <w:gridCol w:w="2268"/>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trPr>
        <w:tc>
          <w:tcPr>
            <w:tcW w:w="73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黑体" w:hAnsi="黑体" w:eastAsia="黑体" w:cs="黑体"/>
                <w:b w:val="0"/>
                <w:bCs w:val="0"/>
                <w:kern w:val="0"/>
                <w:sz w:val="24"/>
                <w:szCs w:val="21"/>
              </w:rPr>
            </w:pPr>
            <w:bookmarkStart w:id="0" w:name="_Hlk142298651"/>
            <w:r>
              <w:rPr>
                <w:rFonts w:hint="eastAsia" w:ascii="黑体" w:hAnsi="黑体" w:eastAsia="黑体" w:cs="黑体"/>
                <w:b w:val="0"/>
                <w:bCs w:val="0"/>
                <w:kern w:val="0"/>
                <w:sz w:val="24"/>
                <w:szCs w:val="21"/>
              </w:rPr>
              <w:t>序号</w:t>
            </w:r>
          </w:p>
        </w:tc>
        <w:tc>
          <w:tcPr>
            <w:tcW w:w="1606"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黑体" w:hAnsi="黑体" w:eastAsia="黑体" w:cs="黑体"/>
                <w:b w:val="0"/>
                <w:bCs w:val="0"/>
                <w:kern w:val="0"/>
                <w:sz w:val="24"/>
                <w:szCs w:val="21"/>
              </w:rPr>
            </w:pPr>
            <w:r>
              <w:rPr>
                <w:rFonts w:hint="eastAsia" w:ascii="黑体" w:hAnsi="黑体" w:eastAsia="黑体" w:cs="黑体"/>
                <w:b w:val="0"/>
                <w:bCs w:val="0"/>
                <w:kern w:val="0"/>
                <w:sz w:val="24"/>
                <w:szCs w:val="21"/>
              </w:rPr>
              <w:t>固废类别</w:t>
            </w:r>
          </w:p>
        </w:tc>
        <w:tc>
          <w:tcPr>
            <w:tcW w:w="1813"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黑体" w:hAnsi="黑体" w:eastAsia="黑体" w:cs="黑体"/>
                <w:b w:val="0"/>
                <w:bCs w:val="0"/>
                <w:kern w:val="0"/>
                <w:sz w:val="24"/>
                <w:szCs w:val="21"/>
              </w:rPr>
            </w:pPr>
            <w:r>
              <w:rPr>
                <w:rFonts w:hint="eastAsia" w:ascii="黑体" w:hAnsi="黑体" w:eastAsia="黑体" w:cs="黑体"/>
                <w:b w:val="0"/>
                <w:bCs w:val="0"/>
                <w:kern w:val="0"/>
                <w:sz w:val="24"/>
                <w:szCs w:val="21"/>
              </w:rPr>
              <w:t>任务环节</w:t>
            </w:r>
          </w:p>
        </w:tc>
        <w:tc>
          <w:tcPr>
            <w:tcW w:w="5760"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黑体" w:hAnsi="黑体" w:eastAsia="黑体" w:cs="黑体"/>
                <w:b w:val="0"/>
                <w:bCs w:val="0"/>
                <w:kern w:val="0"/>
                <w:sz w:val="24"/>
                <w:szCs w:val="21"/>
              </w:rPr>
            </w:pPr>
            <w:r>
              <w:rPr>
                <w:rFonts w:hint="eastAsia" w:ascii="黑体" w:hAnsi="黑体" w:eastAsia="黑体" w:cs="黑体"/>
                <w:b w:val="0"/>
                <w:bCs w:val="0"/>
                <w:kern w:val="0"/>
                <w:sz w:val="24"/>
                <w:szCs w:val="21"/>
              </w:rPr>
              <w:t>责任内容</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黑体" w:hAnsi="黑体" w:eastAsia="黑体" w:cs="黑体"/>
                <w:b w:val="0"/>
                <w:bCs w:val="0"/>
                <w:kern w:val="0"/>
                <w:sz w:val="24"/>
                <w:szCs w:val="21"/>
              </w:rPr>
            </w:pPr>
            <w:r>
              <w:rPr>
                <w:rFonts w:hint="eastAsia" w:ascii="黑体" w:hAnsi="黑体" w:eastAsia="黑体" w:cs="黑体"/>
                <w:b w:val="0"/>
                <w:bCs w:val="0"/>
                <w:kern w:val="0"/>
                <w:sz w:val="24"/>
                <w:szCs w:val="21"/>
              </w:rPr>
              <w:t>牵头单位</w:t>
            </w:r>
          </w:p>
        </w:tc>
        <w:tc>
          <w:tcPr>
            <w:tcW w:w="1762"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黑体" w:hAnsi="黑体" w:eastAsia="黑体" w:cs="黑体"/>
                <w:b w:val="0"/>
                <w:bCs w:val="0"/>
                <w:kern w:val="0"/>
                <w:sz w:val="24"/>
                <w:szCs w:val="21"/>
              </w:rPr>
            </w:pPr>
            <w:r>
              <w:rPr>
                <w:rFonts w:hint="eastAsia" w:ascii="黑体" w:hAnsi="黑体" w:eastAsia="黑体" w:cs="黑体"/>
                <w:b w:val="0"/>
                <w:bCs w:val="0"/>
                <w:kern w:val="0"/>
                <w:sz w:val="24"/>
                <w:szCs w:val="21"/>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1</w:t>
            </w:r>
          </w:p>
        </w:tc>
        <w:tc>
          <w:tcPr>
            <w:tcW w:w="1606"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一般工业固体废物</w:t>
            </w:r>
          </w:p>
        </w:tc>
        <w:tc>
          <w:tcPr>
            <w:tcW w:w="1813"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源头减量</w:t>
            </w:r>
          </w:p>
        </w:tc>
        <w:tc>
          <w:tcPr>
            <w:tcW w:w="5760"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加大产业项目环境影响评价审批力度，落实工业固体废物排污许可证管理。</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市生态环境局中原分局</w:t>
            </w:r>
          </w:p>
        </w:tc>
        <w:tc>
          <w:tcPr>
            <w:tcW w:w="1762"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2</w:t>
            </w:r>
          </w:p>
        </w:tc>
        <w:tc>
          <w:tcPr>
            <w:tcW w:w="160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kern w:val="0"/>
                <w:sz w:val="24"/>
                <w:szCs w:val="20"/>
              </w:rPr>
            </w:pPr>
          </w:p>
        </w:tc>
        <w:tc>
          <w:tcPr>
            <w:tcW w:w="1813"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kern w:val="0"/>
                <w:sz w:val="24"/>
                <w:szCs w:val="20"/>
              </w:rPr>
            </w:pPr>
          </w:p>
        </w:tc>
        <w:tc>
          <w:tcPr>
            <w:tcW w:w="5760"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推进服装家居、汽车制造、新材料、装备制造等重点行业绿色升级改造，推动工业低碳发展，深入推进新能源“无废”制造工程体系建设。</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区工业和信息化局</w:t>
            </w:r>
          </w:p>
        </w:tc>
        <w:tc>
          <w:tcPr>
            <w:tcW w:w="1762"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3</w:t>
            </w:r>
          </w:p>
        </w:tc>
        <w:tc>
          <w:tcPr>
            <w:tcW w:w="160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kern w:val="0"/>
                <w:sz w:val="24"/>
                <w:szCs w:val="20"/>
              </w:rPr>
            </w:pPr>
          </w:p>
        </w:tc>
        <w:tc>
          <w:tcPr>
            <w:tcW w:w="1813"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kern w:val="0"/>
                <w:sz w:val="24"/>
                <w:szCs w:val="20"/>
              </w:rPr>
            </w:pPr>
          </w:p>
        </w:tc>
        <w:tc>
          <w:tcPr>
            <w:tcW w:w="5760"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严格实施“双超双有”企业强制清洁生产审核，重点推进水泥、电力等重点行业企业依法开展强制清洁生产审核。支持规模以上企业按照国家鼓励发展的清洁生产技术、工艺、设备和产品导向目录自愿实施清洁生产。</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区工业和信息化局、市生态环境局中原分局</w:t>
            </w:r>
          </w:p>
        </w:tc>
        <w:tc>
          <w:tcPr>
            <w:tcW w:w="1762"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4</w:t>
            </w:r>
          </w:p>
        </w:tc>
        <w:tc>
          <w:tcPr>
            <w:tcW w:w="160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kern w:val="0"/>
                <w:sz w:val="24"/>
                <w:szCs w:val="20"/>
              </w:rPr>
            </w:pPr>
          </w:p>
        </w:tc>
        <w:tc>
          <w:tcPr>
            <w:tcW w:w="1813"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kern w:val="0"/>
                <w:sz w:val="24"/>
                <w:szCs w:val="20"/>
              </w:rPr>
            </w:pPr>
          </w:p>
        </w:tc>
        <w:tc>
          <w:tcPr>
            <w:tcW w:w="5760"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构建绿色制造体系，培育一批绿色示范企业，打造一批绿色产品和绿色供应链。</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区工业和信息化局</w:t>
            </w:r>
          </w:p>
        </w:tc>
        <w:tc>
          <w:tcPr>
            <w:tcW w:w="1762"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bookmarkStart w:id="1" w:name="_Hlk142298659"/>
            <w:r>
              <w:rPr>
                <w:rFonts w:hint="default" w:ascii="Times New Roman" w:hAnsi="Times New Roman" w:cs="Times New Roman"/>
                <w:kern w:val="0"/>
                <w:sz w:val="24"/>
                <w:szCs w:val="20"/>
              </w:rPr>
              <w:t>5</w:t>
            </w:r>
          </w:p>
        </w:tc>
        <w:tc>
          <w:tcPr>
            <w:tcW w:w="1606"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一般工业固体废物</w:t>
            </w:r>
          </w:p>
        </w:tc>
        <w:tc>
          <w:tcPr>
            <w:tcW w:w="1813"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收贮运体系</w:t>
            </w:r>
          </w:p>
        </w:tc>
        <w:tc>
          <w:tcPr>
            <w:tcW w:w="5760"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建立健全精准化源头分类、专业化二次分拣、智能化高效清运、政府监督、企业付费、第三方运营的一般工业固体废物收运机制，建立布局合理、交售方便、收购有序的一般工业固体废物回收网络。</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市生态环境局中原分局</w:t>
            </w:r>
          </w:p>
        </w:tc>
        <w:tc>
          <w:tcPr>
            <w:tcW w:w="1762"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6</w:t>
            </w:r>
          </w:p>
        </w:tc>
        <w:tc>
          <w:tcPr>
            <w:tcW w:w="160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kern w:val="0"/>
                <w:sz w:val="24"/>
                <w:szCs w:val="20"/>
              </w:rPr>
            </w:pPr>
          </w:p>
        </w:tc>
        <w:tc>
          <w:tcPr>
            <w:tcW w:w="1813"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kern w:val="0"/>
                <w:sz w:val="24"/>
                <w:szCs w:val="20"/>
              </w:rPr>
            </w:pPr>
          </w:p>
        </w:tc>
        <w:tc>
          <w:tcPr>
            <w:tcW w:w="5760"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初步建立一般工业固体废物资源回收统计制度，逐步实现分级分类管理。</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市生态环境局中原分局</w:t>
            </w:r>
          </w:p>
        </w:tc>
        <w:tc>
          <w:tcPr>
            <w:tcW w:w="1762"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7</w:t>
            </w:r>
          </w:p>
        </w:tc>
        <w:tc>
          <w:tcPr>
            <w:tcW w:w="160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kern w:val="0"/>
                <w:sz w:val="24"/>
                <w:szCs w:val="20"/>
              </w:rPr>
            </w:pPr>
          </w:p>
        </w:tc>
        <w:tc>
          <w:tcPr>
            <w:tcW w:w="1813"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kern w:val="0"/>
                <w:sz w:val="24"/>
                <w:szCs w:val="20"/>
              </w:rPr>
            </w:pPr>
          </w:p>
        </w:tc>
        <w:tc>
          <w:tcPr>
            <w:tcW w:w="5760"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开展工业固体废物堆场防范环境污染风险专项行动，加强贮存场所环境整治力度。</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市生态环境局中原分局</w:t>
            </w:r>
          </w:p>
        </w:tc>
        <w:tc>
          <w:tcPr>
            <w:tcW w:w="1762"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8</w:t>
            </w:r>
          </w:p>
        </w:tc>
        <w:tc>
          <w:tcPr>
            <w:tcW w:w="1606"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kern w:val="0"/>
                <w:sz w:val="24"/>
                <w:szCs w:val="20"/>
                <w:lang w:val="en-US" w:eastAsia="zh-CN" w:bidi="ar-SA"/>
              </w:rPr>
            </w:pPr>
            <w:r>
              <w:rPr>
                <w:rFonts w:hint="default" w:ascii="Times New Roman" w:hAnsi="Times New Roman" w:cs="Times New Roman"/>
                <w:kern w:val="0"/>
                <w:sz w:val="24"/>
                <w:szCs w:val="20"/>
              </w:rPr>
              <w:t>一般工业固体废物</w:t>
            </w:r>
          </w:p>
        </w:tc>
        <w:tc>
          <w:tcPr>
            <w:tcW w:w="1813"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利用处置</w:t>
            </w:r>
          </w:p>
        </w:tc>
        <w:tc>
          <w:tcPr>
            <w:tcW w:w="5760"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鼓励一般工业固体废物资源化利用相关项目建设，开展高值化新技术研究及示范，推动综合利用企业规模化、高值化、集约化发展。</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市生态环境局中原分局、区工业和信息化局</w:t>
            </w:r>
          </w:p>
        </w:tc>
        <w:tc>
          <w:tcPr>
            <w:tcW w:w="1762"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9</w:t>
            </w:r>
          </w:p>
        </w:tc>
        <w:tc>
          <w:tcPr>
            <w:tcW w:w="1606"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p>
        </w:tc>
        <w:tc>
          <w:tcPr>
            <w:tcW w:w="181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p>
        </w:tc>
        <w:tc>
          <w:tcPr>
            <w:tcW w:w="5760"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引导企业开展高值综合利用技术应用推广，提升资源化利用水平，减少焚烧处置量。</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区发展和改革委、区工业和信息化局</w:t>
            </w:r>
          </w:p>
        </w:tc>
        <w:tc>
          <w:tcPr>
            <w:tcW w:w="1762"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市资源规划局中原分局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10</w:t>
            </w:r>
          </w:p>
        </w:tc>
        <w:tc>
          <w:tcPr>
            <w:tcW w:w="1606"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kern w:val="0"/>
                <w:sz w:val="24"/>
                <w:szCs w:val="20"/>
              </w:rPr>
            </w:pPr>
          </w:p>
        </w:tc>
        <w:tc>
          <w:tcPr>
            <w:tcW w:w="1813"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管理机制</w:t>
            </w:r>
          </w:p>
        </w:tc>
        <w:tc>
          <w:tcPr>
            <w:tcW w:w="5760"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全面开展工业细分领域固体废物溯源调查与统计，健全一般工业固体废物申报登记制度。</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市生态环境局中原分局</w:t>
            </w:r>
          </w:p>
        </w:tc>
        <w:tc>
          <w:tcPr>
            <w:tcW w:w="1762"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11</w:t>
            </w:r>
          </w:p>
        </w:tc>
        <w:tc>
          <w:tcPr>
            <w:tcW w:w="1606"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kern w:val="0"/>
                <w:sz w:val="24"/>
                <w:szCs w:val="20"/>
              </w:rPr>
            </w:pPr>
          </w:p>
        </w:tc>
        <w:tc>
          <w:tcPr>
            <w:tcW w:w="1813"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kern w:val="0"/>
                <w:sz w:val="24"/>
                <w:szCs w:val="20"/>
              </w:rPr>
            </w:pPr>
          </w:p>
        </w:tc>
        <w:tc>
          <w:tcPr>
            <w:tcW w:w="5760"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对列入环境监管重点单位名录中的行业分步将工业固体废物纳入排污许可证管理范围，强调固体废物产生者的主体责任。</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市生态环境局中原分局</w:t>
            </w:r>
          </w:p>
        </w:tc>
        <w:tc>
          <w:tcPr>
            <w:tcW w:w="1762"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kern w:val="0"/>
                <w:sz w:val="24"/>
                <w:szCs w:val="20"/>
              </w:rPr>
            </w:pPr>
            <w:bookmarkStart w:id="2" w:name="_Hlk142298669"/>
            <w:r>
              <w:rPr>
                <w:rFonts w:hint="default" w:ascii="Times New Roman" w:hAnsi="Times New Roman" w:cs="Times New Roman"/>
                <w:kern w:val="0"/>
                <w:sz w:val="24"/>
                <w:szCs w:val="20"/>
              </w:rPr>
              <w:t>12</w:t>
            </w:r>
          </w:p>
        </w:tc>
        <w:tc>
          <w:tcPr>
            <w:tcW w:w="1606"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生活源固体废物</w:t>
            </w:r>
          </w:p>
        </w:tc>
        <w:tc>
          <w:tcPr>
            <w:tcW w:w="1813"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源头减量</w:t>
            </w:r>
          </w:p>
        </w:tc>
        <w:tc>
          <w:tcPr>
            <w:tcW w:w="5760"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引导小区居民对家庭生活垃圾按照可回收物、有害垃圾、厨余垃圾和其他垃圾四类进行投放，深入开展垃圾分类示范小区建设。</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区城市管理局</w:t>
            </w:r>
          </w:p>
        </w:tc>
        <w:tc>
          <w:tcPr>
            <w:tcW w:w="1762"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13</w:t>
            </w:r>
          </w:p>
        </w:tc>
        <w:tc>
          <w:tcPr>
            <w:tcW w:w="1606"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kern w:val="0"/>
                <w:sz w:val="24"/>
                <w:szCs w:val="20"/>
              </w:rPr>
            </w:pPr>
          </w:p>
        </w:tc>
        <w:tc>
          <w:tcPr>
            <w:tcW w:w="1813"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kern w:val="0"/>
                <w:sz w:val="24"/>
                <w:szCs w:val="20"/>
              </w:rPr>
            </w:pPr>
          </w:p>
        </w:tc>
        <w:tc>
          <w:tcPr>
            <w:tcW w:w="5760"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推进公共机构固体废物减量，加快推动公共机构无纸化办公。</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区政府办</w:t>
            </w:r>
          </w:p>
        </w:tc>
        <w:tc>
          <w:tcPr>
            <w:tcW w:w="1762"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14</w:t>
            </w:r>
          </w:p>
        </w:tc>
        <w:tc>
          <w:tcPr>
            <w:tcW w:w="1606"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kern w:val="0"/>
                <w:sz w:val="24"/>
                <w:szCs w:val="20"/>
              </w:rPr>
            </w:pPr>
          </w:p>
        </w:tc>
        <w:tc>
          <w:tcPr>
            <w:tcW w:w="1813"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kern w:val="0"/>
                <w:sz w:val="24"/>
                <w:szCs w:val="20"/>
              </w:rPr>
            </w:pPr>
          </w:p>
        </w:tc>
        <w:tc>
          <w:tcPr>
            <w:tcW w:w="5760"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倡导绿色健康餐饮，引导消费者适量消费，提倡节约文明用餐，全面开展“光盘行动”。</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区城市管理局、区市场监督管理局</w:t>
            </w:r>
          </w:p>
        </w:tc>
        <w:tc>
          <w:tcPr>
            <w:tcW w:w="1762"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15</w:t>
            </w:r>
          </w:p>
        </w:tc>
        <w:tc>
          <w:tcPr>
            <w:tcW w:w="1606"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kern w:val="0"/>
                <w:sz w:val="24"/>
                <w:szCs w:val="20"/>
              </w:rPr>
            </w:pPr>
          </w:p>
        </w:tc>
        <w:tc>
          <w:tcPr>
            <w:tcW w:w="1813"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kern w:val="0"/>
                <w:sz w:val="24"/>
                <w:szCs w:val="20"/>
              </w:rPr>
            </w:pPr>
          </w:p>
        </w:tc>
        <w:tc>
          <w:tcPr>
            <w:tcW w:w="5760"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发展出行、住宿、货运等领域共享经济，鼓励闲置物品共享交换，推动二手商品交易和流通。</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区城市管理局、区商务局</w:t>
            </w:r>
          </w:p>
        </w:tc>
        <w:tc>
          <w:tcPr>
            <w:tcW w:w="1762"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16</w:t>
            </w:r>
          </w:p>
        </w:tc>
        <w:tc>
          <w:tcPr>
            <w:tcW w:w="1606"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kern w:val="0"/>
                <w:sz w:val="24"/>
                <w:szCs w:val="20"/>
              </w:rPr>
            </w:pPr>
          </w:p>
        </w:tc>
        <w:tc>
          <w:tcPr>
            <w:tcW w:w="1813"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kern w:val="0"/>
                <w:sz w:val="24"/>
                <w:szCs w:val="20"/>
              </w:rPr>
            </w:pPr>
          </w:p>
        </w:tc>
        <w:tc>
          <w:tcPr>
            <w:tcW w:w="5760"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培育多元“无废细胞”，广泛倡导“无废文化”，营造全民参与、共建共享的无废社会氛围。</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市生态环境局中原分局、区工业和信息化局、市资源规划局中原分局、区城市管理局、区商务局、区市场监管局及区政府办</w:t>
            </w:r>
          </w:p>
        </w:tc>
        <w:tc>
          <w:tcPr>
            <w:tcW w:w="1762"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17</w:t>
            </w:r>
          </w:p>
        </w:tc>
        <w:tc>
          <w:tcPr>
            <w:tcW w:w="1606"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0"/>
                <w:sz w:val="24"/>
                <w:szCs w:val="20"/>
                <w:lang w:val="en-US" w:eastAsia="zh-CN" w:bidi="ar-SA"/>
              </w:rPr>
            </w:pPr>
            <w:r>
              <w:rPr>
                <w:rFonts w:hint="default" w:ascii="Times New Roman" w:hAnsi="Times New Roman" w:cs="Times New Roman"/>
                <w:kern w:val="0"/>
                <w:sz w:val="24"/>
                <w:szCs w:val="20"/>
              </w:rPr>
              <w:t>生活源固体废物</w:t>
            </w:r>
          </w:p>
        </w:tc>
        <w:tc>
          <w:tcPr>
            <w:tcW w:w="1813" w:type="dxa"/>
            <w:vMerge w:val="restart"/>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分类收运</w:t>
            </w:r>
          </w:p>
        </w:tc>
        <w:tc>
          <w:tcPr>
            <w:tcW w:w="5760" w:type="dxa"/>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推进分类投放收集体系建设，优化分类投放收集设施布局，加强生活垃圾分类投放行为的宣传和指导，提升生活垃圾分类水平。</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区城市管理局</w:t>
            </w:r>
          </w:p>
        </w:tc>
        <w:tc>
          <w:tcPr>
            <w:tcW w:w="1762" w:type="dxa"/>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18</w:t>
            </w:r>
          </w:p>
        </w:tc>
        <w:tc>
          <w:tcPr>
            <w:tcW w:w="1606"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p>
        </w:tc>
        <w:tc>
          <w:tcPr>
            <w:tcW w:w="1813" w:type="dxa"/>
            <w:vMerge w:val="continue"/>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kern w:val="0"/>
                <w:sz w:val="24"/>
                <w:szCs w:val="20"/>
              </w:rPr>
            </w:pPr>
          </w:p>
        </w:tc>
        <w:tc>
          <w:tcPr>
            <w:tcW w:w="5760" w:type="dxa"/>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建立完善餐厨废弃物、园林绿化废弃物独立收集系统，加强统一收集管理，逐步实现全量收集。</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区城市管理局</w:t>
            </w:r>
          </w:p>
        </w:tc>
        <w:tc>
          <w:tcPr>
            <w:tcW w:w="1762" w:type="dxa"/>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19</w:t>
            </w:r>
          </w:p>
        </w:tc>
        <w:tc>
          <w:tcPr>
            <w:tcW w:w="1606"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p>
        </w:tc>
        <w:tc>
          <w:tcPr>
            <w:tcW w:w="1813" w:type="dxa"/>
            <w:vMerge w:val="continue"/>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kern w:val="0"/>
                <w:sz w:val="24"/>
                <w:szCs w:val="20"/>
              </w:rPr>
            </w:pPr>
          </w:p>
        </w:tc>
        <w:tc>
          <w:tcPr>
            <w:tcW w:w="5760" w:type="dxa"/>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建立完善分类运输体系，建立健全与生活垃圾分类投放收集相匹配的运输网络，推进生活垃圾转运站升级改造，提高生活垃圾分类转运效率。</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区城市管理局</w:t>
            </w:r>
          </w:p>
        </w:tc>
        <w:tc>
          <w:tcPr>
            <w:tcW w:w="1762" w:type="dxa"/>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20</w:t>
            </w:r>
          </w:p>
        </w:tc>
        <w:tc>
          <w:tcPr>
            <w:tcW w:w="1606"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p>
        </w:tc>
        <w:tc>
          <w:tcPr>
            <w:tcW w:w="1813" w:type="dxa"/>
            <w:vMerge w:val="continue"/>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kern w:val="0"/>
                <w:sz w:val="24"/>
                <w:szCs w:val="20"/>
              </w:rPr>
            </w:pPr>
          </w:p>
        </w:tc>
        <w:tc>
          <w:tcPr>
            <w:tcW w:w="5760" w:type="dxa"/>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 xml:space="preserve">构建“两网融合”体系，推进生活垃圾分类网点和废旧物品交投网点建设“两网融合”。 </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区城市管理局</w:t>
            </w:r>
          </w:p>
        </w:tc>
        <w:tc>
          <w:tcPr>
            <w:tcW w:w="1762" w:type="dxa"/>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21</w:t>
            </w:r>
          </w:p>
        </w:tc>
        <w:tc>
          <w:tcPr>
            <w:tcW w:w="1606"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p>
        </w:tc>
        <w:tc>
          <w:tcPr>
            <w:tcW w:w="1813" w:type="dxa"/>
            <w:vMerge w:val="restart"/>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处理利用</w:t>
            </w:r>
          </w:p>
        </w:tc>
        <w:tc>
          <w:tcPr>
            <w:tcW w:w="5760" w:type="dxa"/>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提升厨余垃圾资源化利用能力，补齐利用能力短板。</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区城市管理局</w:t>
            </w:r>
          </w:p>
        </w:tc>
        <w:tc>
          <w:tcPr>
            <w:tcW w:w="1762" w:type="dxa"/>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22</w:t>
            </w:r>
          </w:p>
        </w:tc>
        <w:tc>
          <w:tcPr>
            <w:tcW w:w="1606"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p>
        </w:tc>
        <w:tc>
          <w:tcPr>
            <w:tcW w:w="1813" w:type="dxa"/>
            <w:vMerge w:val="continue"/>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kern w:val="0"/>
                <w:sz w:val="24"/>
                <w:szCs w:val="20"/>
              </w:rPr>
            </w:pPr>
          </w:p>
        </w:tc>
        <w:tc>
          <w:tcPr>
            <w:tcW w:w="5760" w:type="dxa"/>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推动低值可回收物回收利用体系建设，实现可回收物应收尽收、再生利用。</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区城市管理局</w:t>
            </w:r>
          </w:p>
        </w:tc>
        <w:tc>
          <w:tcPr>
            <w:tcW w:w="1762" w:type="dxa"/>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23</w:t>
            </w:r>
          </w:p>
        </w:tc>
        <w:tc>
          <w:tcPr>
            <w:tcW w:w="1606"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p>
        </w:tc>
        <w:tc>
          <w:tcPr>
            <w:tcW w:w="1813" w:type="dxa"/>
            <w:vMerge w:val="restart"/>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管理机制</w:t>
            </w:r>
          </w:p>
        </w:tc>
        <w:tc>
          <w:tcPr>
            <w:tcW w:w="5760" w:type="dxa"/>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推动法制化和规范化管理，建立健全生活垃圾分类法规体系，修订深化城乡生活垃圾分类和治理专项规划，出台餐厨垃圾资源化产品利用配套政策。</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区城市管理局</w:t>
            </w:r>
          </w:p>
        </w:tc>
        <w:tc>
          <w:tcPr>
            <w:tcW w:w="1762" w:type="dxa"/>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区发展和改革委、区城乡建设局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24</w:t>
            </w:r>
          </w:p>
        </w:tc>
        <w:tc>
          <w:tcPr>
            <w:tcW w:w="1606"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p>
        </w:tc>
        <w:tc>
          <w:tcPr>
            <w:tcW w:w="1813" w:type="dxa"/>
            <w:vMerge w:val="continue"/>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kern w:val="0"/>
                <w:sz w:val="24"/>
                <w:szCs w:val="20"/>
              </w:rPr>
            </w:pPr>
          </w:p>
        </w:tc>
        <w:tc>
          <w:tcPr>
            <w:tcW w:w="5760" w:type="dxa"/>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加强对生活垃圾分类市场化运营项目的监管，定时开展巡回抽查活动，及时发现问题解决问题；畅通投诉渠道，向社会公开垃圾分类市场化运营项目投诉方式，加大公众监督力度。</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区城市管理局</w:t>
            </w:r>
          </w:p>
        </w:tc>
        <w:tc>
          <w:tcPr>
            <w:tcW w:w="1762" w:type="dxa"/>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bookmarkStart w:id="3" w:name="_Hlk142298680"/>
            <w:r>
              <w:rPr>
                <w:rFonts w:hint="default" w:ascii="Times New Roman" w:hAnsi="Times New Roman" w:cs="Times New Roman"/>
                <w:kern w:val="0"/>
                <w:sz w:val="24"/>
                <w:szCs w:val="20"/>
              </w:rPr>
              <w:t>25</w:t>
            </w:r>
          </w:p>
        </w:tc>
        <w:tc>
          <w:tcPr>
            <w:tcW w:w="1606" w:type="dxa"/>
            <w:vMerge w:val="restart"/>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建筑垃圾</w:t>
            </w:r>
          </w:p>
        </w:tc>
        <w:tc>
          <w:tcPr>
            <w:tcW w:w="1813" w:type="dxa"/>
            <w:vMerge w:val="restart"/>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源头减量</w:t>
            </w:r>
          </w:p>
        </w:tc>
        <w:tc>
          <w:tcPr>
            <w:tcW w:w="5760"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开展关于推动城乡建设绿色发展专项行动，加快绿色施工技术全面应用。</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区城乡建设局</w:t>
            </w:r>
          </w:p>
        </w:tc>
        <w:tc>
          <w:tcPr>
            <w:tcW w:w="1762"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26</w:t>
            </w:r>
          </w:p>
        </w:tc>
        <w:tc>
          <w:tcPr>
            <w:tcW w:w="1606"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cs="Times New Roman"/>
                <w:kern w:val="0"/>
                <w:sz w:val="24"/>
                <w:szCs w:val="20"/>
              </w:rPr>
            </w:pPr>
          </w:p>
        </w:tc>
        <w:tc>
          <w:tcPr>
            <w:tcW w:w="1813"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cs="Times New Roman"/>
                <w:kern w:val="0"/>
                <w:sz w:val="24"/>
                <w:szCs w:val="20"/>
              </w:rPr>
            </w:pPr>
          </w:p>
        </w:tc>
        <w:tc>
          <w:tcPr>
            <w:tcW w:w="5760"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稳步发展装配式建筑，推广节能绿色建材、装配化装修，提高新建装配式建筑比例。</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区城乡建设局</w:t>
            </w:r>
          </w:p>
        </w:tc>
        <w:tc>
          <w:tcPr>
            <w:tcW w:w="1762"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27</w:t>
            </w:r>
          </w:p>
        </w:tc>
        <w:tc>
          <w:tcPr>
            <w:tcW w:w="1606"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cs="Times New Roman"/>
                <w:kern w:val="0"/>
                <w:sz w:val="24"/>
                <w:szCs w:val="20"/>
              </w:rPr>
            </w:pPr>
          </w:p>
        </w:tc>
        <w:tc>
          <w:tcPr>
            <w:tcW w:w="1813"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收运体系</w:t>
            </w:r>
          </w:p>
        </w:tc>
        <w:tc>
          <w:tcPr>
            <w:tcW w:w="5760"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推进建筑垃圾分类工作，按照建筑渣土、拆迁垃圾细化建筑垃圾分类，严格做到分类投放、分类收集、分类运输、分类处置。</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区城市管理局</w:t>
            </w:r>
          </w:p>
        </w:tc>
        <w:tc>
          <w:tcPr>
            <w:tcW w:w="1762"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28</w:t>
            </w:r>
          </w:p>
        </w:tc>
        <w:tc>
          <w:tcPr>
            <w:tcW w:w="1606"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cs="Times New Roman"/>
                <w:kern w:val="0"/>
                <w:sz w:val="24"/>
                <w:szCs w:val="20"/>
              </w:rPr>
            </w:pPr>
          </w:p>
        </w:tc>
        <w:tc>
          <w:tcPr>
            <w:tcW w:w="1813" w:type="dxa"/>
            <w:vMerge w:val="restart"/>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资源化利用</w:t>
            </w:r>
          </w:p>
        </w:tc>
        <w:tc>
          <w:tcPr>
            <w:tcW w:w="5760"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推动建筑垃圾规模化利用与高值化相结合，支持当地企业建设建筑垃圾高值化利用生产线，生产骨料、砌块砖、装配式墙体等具有高附加值的再生产品。</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区城市管理局</w:t>
            </w:r>
          </w:p>
        </w:tc>
        <w:tc>
          <w:tcPr>
            <w:tcW w:w="1762"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29</w:t>
            </w:r>
          </w:p>
        </w:tc>
        <w:tc>
          <w:tcPr>
            <w:tcW w:w="1606"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cs="Times New Roman"/>
                <w:kern w:val="0"/>
                <w:sz w:val="24"/>
                <w:szCs w:val="20"/>
              </w:rPr>
            </w:pPr>
          </w:p>
        </w:tc>
        <w:tc>
          <w:tcPr>
            <w:tcW w:w="1813"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cs="Times New Roman"/>
                <w:kern w:val="0"/>
                <w:sz w:val="24"/>
                <w:szCs w:val="20"/>
              </w:rPr>
            </w:pPr>
          </w:p>
        </w:tc>
        <w:tc>
          <w:tcPr>
            <w:tcW w:w="5760"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在市政道路建设及政府投资类项目中，大力推广应用工程渣土等再生骨料及制品在建筑工程和道路工程中的应用，加强建筑垃圾再生产品在水系整治、市政、绿化、公建等政府投资工程中的使用。</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区城市管理局</w:t>
            </w:r>
          </w:p>
        </w:tc>
        <w:tc>
          <w:tcPr>
            <w:tcW w:w="1762"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30</w:t>
            </w:r>
          </w:p>
        </w:tc>
        <w:tc>
          <w:tcPr>
            <w:tcW w:w="1606"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cs="Times New Roman"/>
                <w:kern w:val="0"/>
                <w:sz w:val="24"/>
                <w:szCs w:val="20"/>
              </w:rPr>
            </w:pPr>
          </w:p>
        </w:tc>
        <w:tc>
          <w:tcPr>
            <w:tcW w:w="1813"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强化管理</w:t>
            </w:r>
          </w:p>
        </w:tc>
        <w:tc>
          <w:tcPr>
            <w:tcW w:w="5760"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加大动态检查督导力度，联合属地、公安部门开展建筑垃圾运输处置专项整治行动，建立动态综合考评体系。</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区城市管理局</w:t>
            </w:r>
          </w:p>
        </w:tc>
        <w:tc>
          <w:tcPr>
            <w:tcW w:w="1762"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市公安局中原分局</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bookmarkStart w:id="4" w:name="_Hlk142298690"/>
            <w:r>
              <w:rPr>
                <w:rFonts w:hint="default" w:ascii="Times New Roman" w:hAnsi="Times New Roman" w:cs="Times New Roman"/>
                <w:kern w:val="0"/>
                <w:sz w:val="24"/>
                <w:szCs w:val="20"/>
              </w:rPr>
              <w:t>31</w:t>
            </w:r>
          </w:p>
        </w:tc>
        <w:tc>
          <w:tcPr>
            <w:tcW w:w="1606"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危险废物</w:t>
            </w:r>
          </w:p>
        </w:tc>
        <w:tc>
          <w:tcPr>
            <w:tcW w:w="1813"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源头管控</w:t>
            </w:r>
          </w:p>
        </w:tc>
        <w:tc>
          <w:tcPr>
            <w:tcW w:w="5760"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对危险废物产生量大的企业完成强制性清洁生产审核，支持研发、推广减少工业危险废物产生量和降低工业危险废物危害性的生产工艺和设备。</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市生态环境局中原分局</w:t>
            </w:r>
          </w:p>
        </w:tc>
        <w:tc>
          <w:tcPr>
            <w:tcW w:w="1762"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32</w:t>
            </w:r>
          </w:p>
        </w:tc>
        <w:tc>
          <w:tcPr>
            <w:tcW w:w="1606"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p>
        </w:tc>
        <w:tc>
          <w:tcPr>
            <w:tcW w:w="1813"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收运体系</w:t>
            </w:r>
          </w:p>
        </w:tc>
        <w:tc>
          <w:tcPr>
            <w:tcW w:w="5760"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加快推进小量危废集中收集体系建设，建立小微企业危险废物集中收运一体化服务体系。</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市生态环境局中原分局</w:t>
            </w:r>
          </w:p>
        </w:tc>
        <w:tc>
          <w:tcPr>
            <w:tcW w:w="1762"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33</w:t>
            </w:r>
          </w:p>
        </w:tc>
        <w:tc>
          <w:tcPr>
            <w:tcW w:w="1606"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p>
        </w:tc>
        <w:tc>
          <w:tcPr>
            <w:tcW w:w="1813"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kern w:val="0"/>
                <w:sz w:val="24"/>
                <w:szCs w:val="20"/>
              </w:rPr>
            </w:pPr>
          </w:p>
        </w:tc>
        <w:tc>
          <w:tcPr>
            <w:tcW w:w="5760"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推进社会源危险废物区域性收集网点和贮存建设，完善社会源危险废物收运体系。</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市生态环境局中原分局</w:t>
            </w:r>
          </w:p>
        </w:tc>
        <w:tc>
          <w:tcPr>
            <w:tcW w:w="1762"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区交通运输局、区科技局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34</w:t>
            </w:r>
          </w:p>
        </w:tc>
        <w:tc>
          <w:tcPr>
            <w:tcW w:w="1606"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p>
        </w:tc>
        <w:tc>
          <w:tcPr>
            <w:tcW w:w="1813"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kern w:val="0"/>
                <w:sz w:val="24"/>
                <w:szCs w:val="20"/>
              </w:rPr>
            </w:pPr>
          </w:p>
        </w:tc>
        <w:tc>
          <w:tcPr>
            <w:tcW w:w="5760"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完善医疗废物收集转运处置体系和应急处理机制，保障重大疫情医疗废物应急处理能力。</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市生态环境局中原分局</w:t>
            </w:r>
          </w:p>
        </w:tc>
        <w:tc>
          <w:tcPr>
            <w:tcW w:w="1762"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区卫生健康委、区交通运输局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35</w:t>
            </w:r>
          </w:p>
        </w:tc>
        <w:tc>
          <w:tcPr>
            <w:tcW w:w="1606"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p>
        </w:tc>
        <w:tc>
          <w:tcPr>
            <w:tcW w:w="1813"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利用处置</w:t>
            </w:r>
          </w:p>
        </w:tc>
        <w:tc>
          <w:tcPr>
            <w:tcW w:w="5760"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拓宽危险废物利用途径，鼓励企业与委外危险废物经营企业合作时考虑综合利用方式。</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市生态环境局中原分局</w:t>
            </w:r>
          </w:p>
        </w:tc>
        <w:tc>
          <w:tcPr>
            <w:tcW w:w="1762"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36</w:t>
            </w:r>
          </w:p>
        </w:tc>
        <w:tc>
          <w:tcPr>
            <w:tcW w:w="1606"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p>
        </w:tc>
        <w:tc>
          <w:tcPr>
            <w:tcW w:w="1813"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风险防控</w:t>
            </w:r>
          </w:p>
        </w:tc>
        <w:tc>
          <w:tcPr>
            <w:tcW w:w="5760"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全面落实危险废物电子转移联单制度，加强危险废物道路运输安全管理，严格执行危险废物转移交接记录制度，及时掌握危险废物流向，提升风险防控水平，落实全生命周期监管。</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市生态环境局中原分局</w:t>
            </w:r>
          </w:p>
        </w:tc>
        <w:tc>
          <w:tcPr>
            <w:tcW w:w="1762"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37</w:t>
            </w:r>
          </w:p>
        </w:tc>
        <w:tc>
          <w:tcPr>
            <w:tcW w:w="1606"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p>
        </w:tc>
        <w:tc>
          <w:tcPr>
            <w:tcW w:w="1813"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kern w:val="0"/>
                <w:sz w:val="24"/>
                <w:szCs w:val="20"/>
              </w:rPr>
            </w:pPr>
          </w:p>
        </w:tc>
        <w:tc>
          <w:tcPr>
            <w:tcW w:w="5760"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定期开展危险废物隐患排查整治，排查危险废物产废单位源头风险，严格危险废物贮存管理，强化危险废物的转移监督。</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市生态环境局中原分局</w:t>
            </w:r>
          </w:p>
        </w:tc>
        <w:tc>
          <w:tcPr>
            <w:tcW w:w="1762"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38</w:t>
            </w:r>
          </w:p>
        </w:tc>
        <w:tc>
          <w:tcPr>
            <w:tcW w:w="1606"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p>
        </w:tc>
        <w:tc>
          <w:tcPr>
            <w:tcW w:w="1813"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kern w:val="0"/>
                <w:sz w:val="24"/>
                <w:szCs w:val="20"/>
              </w:rPr>
            </w:pPr>
          </w:p>
        </w:tc>
        <w:tc>
          <w:tcPr>
            <w:tcW w:w="5760"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完善危险废物监管源清单，依法落实排污许可制度，督促涉废单位按规定申报危险废物产生、贮存、转移、利用处置等信息，</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市生态环境局中原分局</w:t>
            </w:r>
          </w:p>
        </w:tc>
        <w:tc>
          <w:tcPr>
            <w:tcW w:w="1762"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9"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39</w:t>
            </w:r>
          </w:p>
        </w:tc>
        <w:tc>
          <w:tcPr>
            <w:tcW w:w="1606"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0"/>
                <w:sz w:val="24"/>
                <w:szCs w:val="20"/>
              </w:rPr>
            </w:pPr>
          </w:p>
        </w:tc>
        <w:tc>
          <w:tcPr>
            <w:tcW w:w="1813"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kern w:val="0"/>
                <w:sz w:val="24"/>
                <w:szCs w:val="20"/>
              </w:rPr>
            </w:pPr>
          </w:p>
        </w:tc>
        <w:tc>
          <w:tcPr>
            <w:tcW w:w="5760"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强化危险废物环境污染风险防范能力，健全突发环境事件危险废物跨区域、跨部门应急处置协调机制，建立部门和区域联防联控联治机制。</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市生态环境局中原分局</w:t>
            </w:r>
          </w:p>
        </w:tc>
        <w:tc>
          <w:tcPr>
            <w:tcW w:w="1762"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kern w:val="0"/>
                <w:sz w:val="24"/>
                <w:szCs w:val="20"/>
              </w:rPr>
            </w:pPr>
            <w:r>
              <w:rPr>
                <w:rFonts w:hint="default" w:ascii="Times New Roman" w:hAnsi="Times New Roman" w:cs="Times New Roman"/>
                <w:kern w:val="0"/>
                <w:sz w:val="24"/>
                <w:szCs w:val="20"/>
              </w:rPr>
              <w:t>/</w:t>
            </w:r>
          </w:p>
        </w:tc>
      </w:tr>
      <w:bookmarkEnd w:id="4"/>
    </w:tbl>
    <w:p>
      <w:bookmarkStart w:id="5" w:name="_GoBack"/>
      <w:bookmarkEnd w:id="5"/>
    </w:p>
    <w:sectPr>
      <w:pgSz w:w="16838" w:h="11906" w:orient="landscape"/>
      <w:pgMar w:top="1587" w:right="2098" w:bottom="1474"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8E0648"/>
    <w:rsid w:val="1D8E0648"/>
    <w:rsid w:val="557E6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方正仿宋_GBK" w:cs="Times New Roman"/>
      <w:kern w:val="2"/>
      <w:sz w:val="32"/>
      <w:szCs w:val="22"/>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jc w:val="center"/>
    </w:pPr>
    <w:rPr>
      <w:rFonts w:ascii="华文中宋" w:eastAsia="华文中宋"/>
      <w:b/>
      <w:bCs/>
      <w:sz w:val="44"/>
      <w:szCs w:val="36"/>
    </w:rPr>
  </w:style>
  <w:style w:type="table" w:customStyle="1" w:styleId="5">
    <w:name w:val="网格型2"/>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2023-10-10T08:17:00Z</dcterms:created>
  <dc:creator>Administrator</dc:creator>
  <cp:lastModifiedBy>Administrator</cp:lastModifiedBy>
  <dcterms:modified xsi:type="dcterms:W3CDTF">2023-10-10T08:18:34Z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