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19" w:afterLines="50"/>
        <w:ind w:left="0" w:leftChars="0" w:firstLine="0" w:firstLineChars="0"/>
        <w:textAlignment w:val="auto"/>
        <w:rPr>
          <w:rFonts w:hint="default" w:ascii="Times New Roman" w:hAnsi="Times New Roman" w:eastAsia="黑体" w:cs="Times New Roman"/>
        </w:rPr>
      </w:pPr>
      <w:r>
        <w:rPr>
          <w:rFonts w:hint="default" w:ascii="Times New Roman" w:hAnsi="Times New Roman" w:eastAsia="黑体" w:cs="Times New Roman"/>
        </w:rPr>
        <w:t>附件2</w:t>
      </w:r>
    </w:p>
    <w:p>
      <w:pPr>
        <w:keepNext w:val="0"/>
        <w:keepLines w:val="0"/>
        <w:pageBreakBefore w:val="0"/>
        <w:widowControl w:val="0"/>
        <w:kinsoku/>
        <w:wordWrap/>
        <w:overflowPunct/>
        <w:topLinePunct w:val="0"/>
        <w:autoSpaceDE/>
        <w:autoSpaceDN/>
        <w:bidi w:val="0"/>
        <w:adjustRightInd/>
        <w:snapToGrid/>
        <w:spacing w:after="219" w:afterLines="50"/>
        <w:ind w:firstLine="224"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中原区“十四五”时期“无废城市”建设项目清单</w:t>
      </w:r>
    </w:p>
    <w:tbl>
      <w:tblPr>
        <w:tblStyle w:val="5"/>
        <w:tblW w:w="14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857"/>
        <w:gridCol w:w="4408"/>
        <w:gridCol w:w="1283"/>
        <w:gridCol w:w="1370"/>
        <w:gridCol w:w="1308"/>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序号</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项目名称</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工程建设内容</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总投资</w:t>
            </w:r>
          </w:p>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（万元）</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建设期限</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责任主体</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6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eastAsia" w:ascii="楷体_GB2312" w:hAnsi="楷体_GB2312" w:eastAsia="楷体_GB2312" w:cs="楷体_GB2312"/>
                <w:bCs/>
                <w:kern w:val="0"/>
                <w:sz w:val="24"/>
                <w:szCs w:val="24"/>
              </w:rPr>
              <w:t>（一）生活垃圾收集清运工程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1</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郑州市中原区三官庙街道办事处辖区内环卫清扫保洁项目</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郑州市中原区三官庙街道办事处辖区内环卫清扫保洁，公共环境卫生，市容市貌整治、垃圾桶、垃圾池等垃圾收集、清运等</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359.6</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2023-2024</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郑州市中原区三官庙街道办事处</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郑州思远物业服务有限公司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郑州市中原区桐柏路街道办事处冉屯村城中村连片改造垃圾清运项目</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对冉屯村城中村连片改造地块上的建筑垃圾、生活垃圾、土方等进行清运。</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352</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2023-2024</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郑州市中原区桐柏路街道办事处</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郑州利达建筑安装工程有限公司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3</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郑州市中原区须水街道办事处辖区环卫清扫保洁服务项目</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须水街道办事处环境卫生保洁服务、公共环境卫生、护栏清洁、小广告清除、路边侧石的清洗、道路绿化带内垃圾捡拾、清理积水、除雪、防汛、市容市貌整治、雨水井、下水井的清掏、垃圾桶、垃圾池等垃圾收集、清运等。</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1269.7</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2023-2025</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郑州市中原区须水街道办事处</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郑州市零晨保洁服务有限公司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2"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4</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郑州市中原区棉纺路街道办事处环卫清扫保洁项目</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辖区内包含棉纺路、百花路、友爱路、三厂中街、四厂中街、五厂中街、建设路、嵩山路、桐柏路、锦月路、锦嵩路、神池路、工人北路、工人路、车兴街等27条路段开放道路的清扫保洁（面积约47万㎡）；辖区内公共环境卫生，市容市貌整治，绿化带捡拾，硬隔离和城市家具的擦拭，垃圾桶和垃圾池的垃圾收集、清运等。</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1172.2</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2023-2025</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郑州市中原区棉纺路街道办事处</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郑州市零晨保洁服务有限公司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6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楷体_GB2312" w:hAnsi="楷体_GB2312" w:eastAsia="楷体_GB2312" w:cs="楷体_GB2312"/>
                <w:bCs/>
                <w:kern w:val="0"/>
                <w:sz w:val="24"/>
                <w:szCs w:val="24"/>
              </w:rPr>
              <w:t>（二）厨余垃圾收运工程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5</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郑州市中原区城市管理局厨余垃圾收运服务项目</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对辖区内所有开展垃圾分类的小区在需要分类处置和暂存的厨余、园林及无主管楼院内垃圾的专业收运工作，垃圾运输至中原区垃圾分拣中心。</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139.9元/吨</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2022-2023</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郑州市中原区城市管理局</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河南六五环境科技有限公司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6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楷体_GB2312" w:hAnsi="楷体_GB2312" w:eastAsia="楷体_GB2312" w:cs="楷体_GB2312"/>
                <w:bCs/>
                <w:kern w:val="0"/>
                <w:sz w:val="24"/>
                <w:szCs w:val="24"/>
              </w:rPr>
              <w:t>（三）建筑垃圾资源化利用工程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6</w:t>
            </w:r>
          </w:p>
        </w:tc>
        <w:tc>
          <w:tcPr>
            <w:tcW w:w="2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郑州市中原区建筑垃圾回收利用及完善城市功能建设项目</w:t>
            </w:r>
          </w:p>
        </w:tc>
        <w:tc>
          <w:tcPr>
            <w:tcW w:w="44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城市管理应急中心占地约70亩，主要建设生活垃圾应急存储中心及建筑垃圾资源化利用再生中心，总建筑面积20192.55平方米，包括污水处理设备房、库房、垃圾倒料坑等功能用房；购置生活垃圾处置设备、应急储料暂存处置系统、污水除臭设备、污水处理系统、装修垃圾及建筑垃圾破碎筛选设备等。配套停车场基础设施完善项目主要包括变压器3台、停车管理系统1套。</w:t>
            </w:r>
          </w:p>
        </w:tc>
        <w:tc>
          <w:tcPr>
            <w:tcW w:w="12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121120</w:t>
            </w:r>
          </w:p>
        </w:tc>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2022-2025</w:t>
            </w:r>
          </w:p>
        </w:tc>
        <w:tc>
          <w:tcPr>
            <w:tcW w:w="1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郑州市中原区城市管理局</w:t>
            </w:r>
          </w:p>
        </w:tc>
        <w:tc>
          <w:tcPr>
            <w:tcW w:w="2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w:t>
            </w:r>
          </w:p>
        </w:tc>
      </w:tr>
    </w:tbl>
    <w:p>
      <w:bookmarkStart w:id="0" w:name="_GoBack"/>
      <w:bookmarkEnd w:id="0"/>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813BC"/>
    <w:rsid w:val="263813BC"/>
    <w:rsid w:val="557E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华文中宋" w:eastAsia="华文中宋"/>
      <w:b/>
      <w:bCs/>
      <w:sz w:val="44"/>
      <w:szCs w:val="36"/>
    </w:rPr>
  </w:style>
  <w:style w:type="table" w:customStyle="1" w:styleId="5">
    <w:name w:val="网格型71"/>
    <w:basedOn w:val="4"/>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2023-10-10T08:20:00Z</dcterms:created>
  <dc:creator>Administrator</dc:creator>
  <cp:lastModifiedBy>Administrator</cp:lastModifiedBy>
  <dcterms:modified xsi:type="dcterms:W3CDTF">2023-10-10T08:20:30Z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