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hd w:val="clear"/>
        <w:snapToGrid w:val="0"/>
        <w:spacing w:before="0" w:beforeAutospacing="0" w:after="0" w:afterAutospacing="0"/>
        <w:jc w:val="center"/>
        <w:rPr>
          <w:rFonts w:hint="eastAsia" w:ascii="方正小标宋简体" w:hAnsi="方正小标宋简体" w:eastAsia="方正小标宋简体" w:cs="方正小标宋简体"/>
          <w:b w:val="0"/>
          <w:bCs w:val="0"/>
          <w:color w:val="000000" w:themeColor="text1"/>
          <w:sz w:val="44"/>
          <w:szCs w:val="44"/>
          <w:shd w:val="clear" w:color="auto" w:fill="FFFFFF"/>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44"/>
          <w:szCs w:val="44"/>
          <w:lang w:val="en-US" w:eastAsia="zh-CN"/>
          <w14:textFill>
            <w14:solidFill>
              <w14:schemeClr w14:val="tx1"/>
            </w14:solidFill>
          </w14:textFill>
        </w:rPr>
        <w:t>政策解读：</w:t>
      </w:r>
      <w:r>
        <w:rPr>
          <w:rFonts w:hint="eastAsia" w:ascii="方正小标宋简体" w:hAnsi="方正小标宋简体" w:eastAsia="方正小标宋简体" w:cs="方正小标宋简体"/>
          <w:b w:val="0"/>
          <w:bCs w:val="0"/>
          <w:color w:val="000000" w:themeColor="text1"/>
          <w:sz w:val="44"/>
          <w:szCs w:val="44"/>
          <w:lang w:val="en-US" w:eastAsia="zh-CN"/>
          <w14:textFill>
            <w14:solidFill>
              <w14:schemeClr w14:val="tx1"/>
            </w14:solidFill>
          </w14:textFill>
        </w:rPr>
        <w:t xml:space="preserve"> 《</w:t>
      </w:r>
      <w:r>
        <w:rPr>
          <w:rFonts w:hint="eastAsia" w:ascii="方正小标宋简体" w:hAnsi="方正小标宋简体" w:eastAsia="方正小标宋简体" w:cs="方正小标宋简体"/>
          <w:b w:val="0"/>
          <w:bCs w:val="0"/>
          <w:color w:val="000000" w:themeColor="text1"/>
          <w:sz w:val="44"/>
          <w:szCs w:val="44"/>
          <w:shd w:val="clear" w:color="auto" w:fill="FFFFFF"/>
          <w14:textFill>
            <w14:solidFill>
              <w14:schemeClr w14:val="tx1"/>
            </w14:solidFill>
          </w14:textFill>
        </w:rPr>
        <w:t>中原区卫生健康委员会</w:t>
      </w:r>
    </w:p>
    <w:p>
      <w:pPr>
        <w:pStyle w:val="2"/>
        <w:widowControl/>
        <w:shd w:val="clear"/>
        <w:snapToGrid w:val="0"/>
        <w:spacing w:before="0" w:beforeAutospacing="0" w:after="0" w:afterAutospacing="0"/>
        <w:jc w:val="center"/>
        <w:rPr>
          <w:rFonts w:hint="eastAsia" w:ascii="方正小标宋简体" w:hAnsi="方正小标宋简体" w:eastAsia="方正小标宋简体" w:cs="方正小标宋简体"/>
          <w:b w:val="0"/>
          <w:bCs w:val="0"/>
          <w:color w:val="000000" w:themeColor="text1"/>
          <w:sz w:val="44"/>
          <w:szCs w:val="44"/>
          <w:lang w:val="en-US" w:eastAsia="zh-CN"/>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44"/>
          <w:szCs w:val="44"/>
          <w:shd w:val="clear" w:color="auto" w:fill="FFFFFF"/>
          <w14:textFill>
            <w14:solidFill>
              <w14:schemeClr w14:val="tx1"/>
            </w14:solidFill>
          </w14:textFill>
        </w:rPr>
        <w:t>关于印发中原区基层医疗卫生机构基本</w:t>
      </w:r>
      <w:r>
        <w:rPr>
          <w:rFonts w:hint="eastAsia" w:ascii="方正小标宋简体" w:hAnsi="方正小标宋简体" w:eastAsia="方正小标宋简体" w:cs="方正小标宋简体"/>
          <w:b w:val="0"/>
          <w:bCs w:val="0"/>
          <w:color w:val="000000" w:themeColor="text1"/>
          <w:sz w:val="44"/>
          <w:szCs w:val="44"/>
          <w:shd w:val="clear" w:color="auto" w:fill="FFFFFF"/>
          <w:lang w:val="en-US" w:eastAsia="zh-CN"/>
          <w14:textFill>
            <w14:solidFill>
              <w14:schemeClr w14:val="tx1"/>
            </w14:solidFill>
          </w14:textFill>
        </w:rPr>
        <w:t>药物</w:t>
      </w:r>
      <w:r>
        <w:rPr>
          <w:rFonts w:hint="eastAsia" w:ascii="方正小标宋简体" w:hAnsi="方正小标宋简体" w:eastAsia="方正小标宋简体" w:cs="方正小标宋简体"/>
          <w:b w:val="0"/>
          <w:bCs w:val="0"/>
          <w:color w:val="000000" w:themeColor="text1"/>
          <w:sz w:val="44"/>
          <w:szCs w:val="44"/>
          <w:shd w:val="clear" w:color="auto" w:fill="FFFFFF"/>
          <w14:textFill>
            <w14:solidFill>
              <w14:schemeClr w14:val="tx1"/>
            </w14:solidFill>
          </w14:textFill>
        </w:rPr>
        <w:t>制度绩效考核办法（试行）的通知</w:t>
      </w:r>
      <w:r>
        <w:rPr>
          <w:rFonts w:hint="eastAsia" w:ascii="方正小标宋简体" w:hAnsi="方正小标宋简体" w:eastAsia="方正小标宋简体" w:cs="方正小标宋简体"/>
          <w:b w:val="0"/>
          <w:bCs w:val="0"/>
          <w:color w:val="000000" w:themeColor="text1"/>
          <w:sz w:val="44"/>
          <w:szCs w:val="44"/>
          <w:lang w:val="en-US" w:eastAsia="zh-CN"/>
          <w14:textFill>
            <w14:solidFill>
              <w14:schemeClr w14:val="tx1"/>
            </w14:solidFill>
          </w14:textFill>
        </w:rPr>
        <w:t>》</w:t>
      </w:r>
    </w:p>
    <w:p>
      <w:pPr>
        <w:pStyle w:val="2"/>
        <w:widowControl/>
        <w:shd w:val="clear"/>
        <w:snapToGrid w:val="0"/>
        <w:spacing w:before="0" w:beforeAutospacing="0" w:after="0" w:afterAutospacing="0"/>
        <w:jc w:val="both"/>
        <w:rPr>
          <w:rFonts w:hint="eastAsia" w:ascii="黑体" w:hAnsi="黑体" w:eastAsia="黑体" w:cs="黑体"/>
          <w:b w:val="0"/>
          <w:bCs w:val="0"/>
          <w:color w:val="000000" w:themeColor="text1"/>
          <w:sz w:val="44"/>
          <w:szCs w:val="44"/>
          <w:lang w:val="en-US" w:eastAsia="zh-CN"/>
          <w14:textFill>
            <w14:solidFill>
              <w14:schemeClr w14:val="tx1"/>
            </w14:solidFill>
          </w14:textFill>
        </w:rPr>
      </w:pPr>
    </w:p>
    <w:p>
      <w:pPr>
        <w:pStyle w:val="2"/>
        <w:keepNext w:val="0"/>
        <w:keepLines w:val="0"/>
        <w:pageBreakBefore w:val="0"/>
        <w:widowControl/>
        <w:numPr>
          <w:numId w:val="0"/>
        </w:numPr>
        <w:shd w:val="clear"/>
        <w:kinsoku/>
        <w:wordWrap/>
        <w:overflowPunct/>
        <w:topLinePunct w:val="0"/>
        <w:autoSpaceDE/>
        <w:autoSpaceDN/>
        <w:bidi w:val="0"/>
        <w:adjustRightInd w:val="0"/>
        <w:snapToGrid w:val="0"/>
        <w:spacing w:before="0" w:beforeAutospacing="0" w:after="0" w:afterAutospacing="0" w:line="570" w:lineRule="exact"/>
        <w:ind w:right="0" w:rightChars="0" w:firstLine="640" w:firstLineChars="200"/>
        <w:jc w:val="both"/>
        <w:textAlignment w:val="auto"/>
        <w:rPr>
          <w:rFonts w:hint="eastAsia" w:ascii="黑体" w:hAnsi="黑体" w:eastAsia="黑体" w:cs="黑体"/>
          <w:b w:val="0"/>
          <w:bCs w:val="0"/>
          <w:color w:val="000000" w:themeColor="text1"/>
          <w:sz w:val="32"/>
          <w:szCs w:val="32"/>
          <w:lang w:val="en-US" w:eastAsia="zh-CN"/>
          <w14:textFill>
            <w14:solidFill>
              <w14:schemeClr w14:val="tx1"/>
            </w14:solidFill>
          </w14:textFill>
        </w:rPr>
      </w:pPr>
      <w:r>
        <w:rPr>
          <w:rFonts w:hint="eastAsia" w:ascii="黑体" w:hAnsi="黑体" w:eastAsia="黑体" w:cs="黑体"/>
          <w:b w:val="0"/>
          <w:bCs w:val="0"/>
          <w:color w:val="000000" w:themeColor="text1"/>
          <w:sz w:val="32"/>
          <w:szCs w:val="32"/>
          <w:lang w:val="en-US" w:eastAsia="zh-CN"/>
          <w14:textFill>
            <w14:solidFill>
              <w14:schemeClr w14:val="tx1"/>
            </w14:solidFill>
          </w14:textFill>
        </w:rPr>
        <w:t>一、解读方案</w:t>
      </w:r>
    </w:p>
    <w:p>
      <w:pPr>
        <w:pStyle w:val="2"/>
        <w:keepNext w:val="0"/>
        <w:keepLines w:val="0"/>
        <w:pageBreakBefore w:val="0"/>
        <w:widowControl/>
        <w:numPr>
          <w:numId w:val="0"/>
        </w:numPr>
        <w:shd w:val="clear"/>
        <w:kinsoku/>
        <w:wordWrap/>
        <w:overflowPunct/>
        <w:topLinePunct w:val="0"/>
        <w:autoSpaceDE/>
        <w:autoSpaceDN/>
        <w:bidi w:val="0"/>
        <w:adjustRightInd w:val="0"/>
        <w:snapToGrid w:val="0"/>
        <w:spacing w:before="0" w:beforeAutospacing="0" w:after="0" w:afterAutospacing="0" w:line="570" w:lineRule="exact"/>
        <w:ind w:right="0" w:rightChars="0" w:firstLine="640" w:firstLineChars="200"/>
        <w:jc w:val="left"/>
        <w:textAlignment w:val="auto"/>
        <w:rPr>
          <w:rFonts w:hint="eastAsia" w:ascii="楷体_GB2312" w:hAnsi="楷体_GB2312" w:eastAsia="楷体_GB2312" w:cs="楷体_GB2312"/>
          <w:b w:val="0"/>
          <w:bCs w:val="0"/>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b w:val="0"/>
          <w:bCs w:val="0"/>
          <w:color w:val="000000" w:themeColor="text1"/>
          <w:sz w:val="32"/>
          <w:szCs w:val="32"/>
          <w:lang w:val="en-US" w:eastAsia="zh-CN"/>
          <w14:textFill>
            <w14:solidFill>
              <w14:schemeClr w14:val="tx1"/>
            </w14:solidFill>
          </w14:textFill>
        </w:rPr>
        <w:t>（一）解读提纲。</w:t>
      </w:r>
    </w:p>
    <w:p>
      <w:pPr>
        <w:pStyle w:val="2"/>
        <w:keepNext w:val="0"/>
        <w:keepLines w:val="0"/>
        <w:pageBreakBefore w:val="0"/>
        <w:widowControl/>
        <w:numPr>
          <w:ilvl w:val="0"/>
          <w:numId w:val="1"/>
        </w:numPr>
        <w:shd w:val="clear"/>
        <w:kinsoku/>
        <w:wordWrap/>
        <w:overflowPunct/>
        <w:topLinePunct w:val="0"/>
        <w:autoSpaceDE/>
        <w:autoSpaceDN/>
        <w:bidi w:val="0"/>
        <w:adjustRightInd w:val="0"/>
        <w:snapToGrid w:val="0"/>
        <w:spacing w:before="0" w:beforeAutospacing="0" w:after="0" w:afterAutospacing="0" w:line="570" w:lineRule="exact"/>
        <w:ind w:left="800" w:leftChars="0" w:right="0" w:rightChars="0" w:firstLine="0" w:firstLineChars="0"/>
        <w:jc w:val="both"/>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主要依据</w:t>
      </w:r>
    </w:p>
    <w:p>
      <w:pPr>
        <w:pStyle w:val="2"/>
        <w:keepNext w:val="0"/>
        <w:keepLines w:val="0"/>
        <w:pageBreakBefore w:val="0"/>
        <w:widowControl/>
        <w:numPr>
          <w:ilvl w:val="0"/>
          <w:numId w:val="1"/>
        </w:numPr>
        <w:shd w:val="clear"/>
        <w:kinsoku/>
        <w:wordWrap/>
        <w:overflowPunct/>
        <w:topLinePunct w:val="0"/>
        <w:autoSpaceDE/>
        <w:autoSpaceDN/>
        <w:bidi w:val="0"/>
        <w:adjustRightInd w:val="0"/>
        <w:snapToGrid w:val="0"/>
        <w:spacing w:before="0" w:beforeAutospacing="0" w:after="0" w:afterAutospacing="0" w:line="570" w:lineRule="exact"/>
        <w:ind w:left="800" w:leftChars="0" w:right="0" w:rightChars="0" w:firstLine="0" w:firstLineChars="0"/>
        <w:jc w:val="both"/>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目的意义</w:t>
      </w:r>
    </w:p>
    <w:p>
      <w:pPr>
        <w:pStyle w:val="2"/>
        <w:keepNext w:val="0"/>
        <w:keepLines w:val="0"/>
        <w:pageBreakBefore w:val="0"/>
        <w:widowControl/>
        <w:numPr>
          <w:ilvl w:val="0"/>
          <w:numId w:val="1"/>
        </w:numPr>
        <w:shd w:val="clear"/>
        <w:kinsoku/>
        <w:wordWrap/>
        <w:overflowPunct/>
        <w:topLinePunct w:val="0"/>
        <w:autoSpaceDE/>
        <w:autoSpaceDN/>
        <w:bidi w:val="0"/>
        <w:adjustRightInd w:val="0"/>
        <w:snapToGrid w:val="0"/>
        <w:spacing w:before="0" w:beforeAutospacing="0" w:after="0" w:afterAutospacing="0" w:line="570" w:lineRule="exact"/>
        <w:ind w:left="800" w:leftChars="0" w:right="0" w:rightChars="0" w:firstLine="0" w:firstLineChars="0"/>
        <w:jc w:val="both"/>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目标任务</w:t>
      </w:r>
    </w:p>
    <w:p>
      <w:pPr>
        <w:pStyle w:val="2"/>
        <w:keepNext w:val="0"/>
        <w:keepLines w:val="0"/>
        <w:pageBreakBefore w:val="0"/>
        <w:widowControl/>
        <w:numPr>
          <w:ilvl w:val="0"/>
          <w:numId w:val="1"/>
        </w:numPr>
        <w:shd w:val="clear"/>
        <w:kinsoku/>
        <w:wordWrap/>
        <w:overflowPunct/>
        <w:topLinePunct w:val="0"/>
        <w:autoSpaceDE/>
        <w:autoSpaceDN/>
        <w:bidi w:val="0"/>
        <w:adjustRightInd w:val="0"/>
        <w:snapToGrid w:val="0"/>
        <w:spacing w:before="0" w:beforeAutospacing="0" w:after="0" w:afterAutospacing="0" w:line="570" w:lineRule="exact"/>
        <w:ind w:left="800" w:leftChars="0" w:right="0" w:rightChars="0" w:firstLine="0" w:firstLineChars="0"/>
        <w:jc w:val="both"/>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适用范围</w:t>
      </w:r>
    </w:p>
    <w:p>
      <w:pPr>
        <w:pStyle w:val="2"/>
        <w:keepNext w:val="0"/>
        <w:keepLines w:val="0"/>
        <w:pageBreakBefore w:val="0"/>
        <w:widowControl/>
        <w:numPr>
          <w:ilvl w:val="0"/>
          <w:numId w:val="1"/>
        </w:numPr>
        <w:shd w:val="clear"/>
        <w:kinsoku/>
        <w:wordWrap/>
        <w:overflowPunct/>
        <w:topLinePunct w:val="0"/>
        <w:autoSpaceDE/>
        <w:autoSpaceDN/>
        <w:bidi w:val="0"/>
        <w:adjustRightInd w:val="0"/>
        <w:snapToGrid w:val="0"/>
        <w:spacing w:before="0" w:beforeAutospacing="0" w:after="0" w:afterAutospacing="0" w:line="570" w:lineRule="exact"/>
        <w:ind w:left="800" w:leftChars="0" w:right="0" w:rightChars="0" w:firstLine="0" w:firstLineChars="0"/>
        <w:jc w:val="both"/>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建设标准</w:t>
      </w:r>
    </w:p>
    <w:p>
      <w:pPr>
        <w:pStyle w:val="2"/>
        <w:keepNext w:val="0"/>
        <w:keepLines w:val="0"/>
        <w:pageBreakBefore w:val="0"/>
        <w:widowControl/>
        <w:numPr>
          <w:ilvl w:val="0"/>
          <w:numId w:val="1"/>
        </w:numPr>
        <w:shd w:val="clear"/>
        <w:kinsoku/>
        <w:wordWrap/>
        <w:overflowPunct/>
        <w:topLinePunct w:val="0"/>
        <w:autoSpaceDE/>
        <w:autoSpaceDN/>
        <w:bidi w:val="0"/>
        <w:adjustRightInd w:val="0"/>
        <w:snapToGrid w:val="0"/>
        <w:spacing w:before="0" w:beforeAutospacing="0" w:after="0" w:afterAutospacing="0" w:line="570" w:lineRule="exact"/>
        <w:ind w:left="800" w:leftChars="0" w:right="0" w:rightChars="0" w:firstLine="0" w:firstLineChars="0"/>
        <w:jc w:val="both"/>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其他事项</w:t>
      </w:r>
    </w:p>
    <w:p>
      <w:pPr>
        <w:pStyle w:val="2"/>
        <w:keepNext w:val="0"/>
        <w:keepLines w:val="0"/>
        <w:pageBreakBefore w:val="0"/>
        <w:widowControl/>
        <w:numPr>
          <w:ilvl w:val="0"/>
          <w:numId w:val="2"/>
        </w:numPr>
        <w:shd w:val="clear"/>
        <w:kinsoku/>
        <w:wordWrap/>
        <w:overflowPunct/>
        <w:topLinePunct w:val="0"/>
        <w:autoSpaceDE/>
        <w:autoSpaceDN/>
        <w:bidi w:val="0"/>
        <w:adjustRightInd w:val="0"/>
        <w:snapToGrid w:val="0"/>
        <w:spacing w:before="0" w:beforeAutospacing="0" w:after="0" w:afterAutospacing="0" w:line="570" w:lineRule="exact"/>
        <w:ind w:left="640" w:leftChars="0" w:right="0" w:rightChars="0" w:firstLine="0" w:firstLineChars="0"/>
        <w:jc w:val="both"/>
        <w:textAlignment w:val="auto"/>
        <w:rPr>
          <w:rFonts w:hint="eastAsia" w:ascii="楷体_GB2312" w:hAnsi="楷体_GB2312" w:eastAsia="楷体_GB2312" w:cs="楷体_GB2312"/>
          <w:b w:val="0"/>
          <w:bCs w:val="0"/>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b w:val="0"/>
          <w:bCs w:val="0"/>
          <w:color w:val="000000" w:themeColor="text1"/>
          <w:sz w:val="32"/>
          <w:szCs w:val="32"/>
          <w:lang w:val="en-US" w:eastAsia="zh-CN"/>
          <w14:textFill>
            <w14:solidFill>
              <w14:schemeClr w14:val="tx1"/>
            </w14:solidFill>
          </w14:textFill>
        </w:rPr>
        <w:t>解读形式。</w:t>
      </w:r>
    </w:p>
    <w:p>
      <w:pPr>
        <w:pStyle w:val="2"/>
        <w:keepNext w:val="0"/>
        <w:keepLines w:val="0"/>
        <w:pageBreakBefore w:val="0"/>
        <w:widowControl/>
        <w:numPr>
          <w:ilvl w:val="0"/>
          <w:numId w:val="0"/>
        </w:numPr>
        <w:shd w:val="clear"/>
        <w:kinsoku/>
        <w:wordWrap/>
        <w:overflowPunct/>
        <w:topLinePunct w:val="0"/>
        <w:autoSpaceDE/>
        <w:autoSpaceDN/>
        <w:bidi w:val="0"/>
        <w:adjustRightInd w:val="0"/>
        <w:snapToGrid w:val="0"/>
        <w:spacing w:before="0" w:beforeAutospacing="0" w:after="0" w:afterAutospacing="0" w:line="570" w:lineRule="exact"/>
        <w:ind w:right="0" w:rightChars="0" w:firstLine="640" w:firstLineChars="200"/>
        <w:jc w:val="both"/>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bookmarkStart w:id="0" w:name="_GoBack"/>
      <w:bookmarkEnd w:id="0"/>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文字说明</w:t>
      </w:r>
    </w:p>
    <w:p>
      <w:pPr>
        <w:pStyle w:val="2"/>
        <w:keepNext w:val="0"/>
        <w:keepLines w:val="0"/>
        <w:pageBreakBefore w:val="0"/>
        <w:widowControl/>
        <w:numPr>
          <w:numId w:val="0"/>
        </w:numPr>
        <w:shd w:val="clear"/>
        <w:kinsoku/>
        <w:wordWrap/>
        <w:overflowPunct/>
        <w:topLinePunct w:val="0"/>
        <w:autoSpaceDE/>
        <w:autoSpaceDN/>
        <w:bidi w:val="0"/>
        <w:adjustRightInd w:val="0"/>
        <w:snapToGrid w:val="0"/>
        <w:spacing w:before="0" w:beforeAutospacing="0" w:after="0" w:afterAutospacing="0" w:line="570" w:lineRule="exact"/>
        <w:ind w:leftChars="0" w:right="0" w:rightChars="0" w:firstLine="640" w:firstLineChars="200"/>
        <w:jc w:val="both"/>
        <w:textAlignment w:val="auto"/>
        <w:rPr>
          <w:rFonts w:hint="eastAsia" w:ascii="黑体" w:hAnsi="黑体" w:eastAsia="黑体" w:cs="黑体"/>
          <w:b w:val="0"/>
          <w:bCs w:val="0"/>
          <w:color w:val="000000" w:themeColor="text1"/>
          <w:sz w:val="32"/>
          <w:szCs w:val="32"/>
          <w:lang w:val="en-US" w:eastAsia="zh-CN"/>
          <w14:textFill>
            <w14:solidFill>
              <w14:schemeClr w14:val="tx1"/>
            </w14:solidFill>
          </w14:textFill>
        </w:rPr>
      </w:pPr>
      <w:r>
        <w:rPr>
          <w:rFonts w:hint="eastAsia" w:ascii="黑体" w:hAnsi="黑体" w:eastAsia="黑体" w:cs="黑体"/>
          <w:b w:val="0"/>
          <w:bCs w:val="0"/>
          <w:color w:val="000000" w:themeColor="text1"/>
          <w:sz w:val="32"/>
          <w:szCs w:val="32"/>
          <w:lang w:val="en-US" w:eastAsia="zh-CN"/>
          <w14:textFill>
            <w14:solidFill>
              <w14:schemeClr w14:val="tx1"/>
            </w14:solidFill>
          </w14:textFill>
        </w:rPr>
        <w:t>二、解读内容</w:t>
      </w:r>
    </w:p>
    <w:p>
      <w:pPr>
        <w:pStyle w:val="2"/>
        <w:keepNext w:val="0"/>
        <w:keepLines w:val="0"/>
        <w:pageBreakBefore w:val="0"/>
        <w:widowControl/>
        <w:numPr>
          <w:ilvl w:val="0"/>
          <w:numId w:val="3"/>
        </w:numPr>
        <w:shd w:val="clear"/>
        <w:kinsoku/>
        <w:wordWrap/>
        <w:overflowPunct/>
        <w:topLinePunct w:val="0"/>
        <w:autoSpaceDE/>
        <w:autoSpaceDN/>
        <w:bidi w:val="0"/>
        <w:adjustRightInd w:val="0"/>
        <w:snapToGrid w:val="0"/>
        <w:spacing w:before="0" w:beforeAutospacing="0" w:after="0" w:afterAutospacing="0" w:line="570" w:lineRule="exact"/>
        <w:ind w:left="800" w:leftChars="0" w:right="0" w:rightChars="0" w:firstLine="0" w:firstLineChars="0"/>
        <w:jc w:val="both"/>
        <w:textAlignment w:val="auto"/>
        <w:rPr>
          <w:rFonts w:hint="eastAsia" w:ascii="仿宋_GB2312" w:hAnsi="仿宋_GB2312" w:eastAsia="仿宋_GB2312" w:cs="仿宋_GB2312"/>
          <w:b w:val="0"/>
          <w:bCs w:val="0"/>
          <w:i w:val="0"/>
          <w:caps w:val="0"/>
          <w:color w:val="000000" w:themeColor="text1"/>
          <w:spacing w:val="0"/>
          <w:sz w:val="32"/>
          <w:szCs w:val="32"/>
          <w:u w:val="none"/>
          <w14:textFill>
            <w14:solidFill>
              <w14:schemeClr w14:val="tx1"/>
            </w14:solidFill>
          </w14:textFill>
        </w:rPr>
      </w:pPr>
      <w:r>
        <w:rPr>
          <w:rFonts w:hint="eastAsia" w:ascii="楷体_GB2312" w:hAnsi="楷体_GB2312" w:eastAsia="楷体_GB2312" w:cs="楷体_GB2312"/>
          <w:b w:val="0"/>
          <w:bCs w:val="0"/>
          <w:color w:val="000000" w:themeColor="text1"/>
          <w:sz w:val="32"/>
          <w:szCs w:val="32"/>
          <w:lang w:val="en-US" w:eastAsia="zh-CN"/>
          <w14:textFill>
            <w14:solidFill>
              <w14:schemeClr w14:val="tx1"/>
            </w14:solidFill>
          </w14:textFill>
        </w:rPr>
        <w:t>主要依据。</w:t>
      </w:r>
    </w:p>
    <w:p>
      <w:pPr>
        <w:pStyle w:val="2"/>
        <w:keepNext w:val="0"/>
        <w:keepLines w:val="0"/>
        <w:pageBreakBefore w:val="0"/>
        <w:widowControl/>
        <w:numPr>
          <w:numId w:val="0"/>
        </w:numPr>
        <w:shd w:val="clear"/>
        <w:kinsoku/>
        <w:wordWrap/>
        <w:overflowPunct/>
        <w:topLinePunct w:val="0"/>
        <w:autoSpaceDE/>
        <w:autoSpaceDN/>
        <w:bidi w:val="0"/>
        <w:adjustRightInd w:val="0"/>
        <w:snapToGrid w:val="0"/>
        <w:spacing w:before="0" w:beforeAutospacing="0" w:after="0" w:afterAutospacing="0" w:line="570" w:lineRule="exact"/>
        <w:ind w:right="0" w:rightChars="0" w:firstLine="640" w:firstLineChars="200"/>
        <w:jc w:val="both"/>
        <w:textAlignment w:val="auto"/>
        <w:rPr>
          <w:rFonts w:hint="eastAsia" w:ascii="仿宋_GB2312" w:hAnsi="仿宋_GB2312" w:eastAsia="仿宋_GB2312" w:cs="仿宋_GB2312"/>
          <w:b w:val="0"/>
          <w:bCs w:val="0"/>
          <w:i w:val="0"/>
          <w:caps w:val="0"/>
          <w:color w:val="000000" w:themeColor="text1"/>
          <w:spacing w:val="0"/>
          <w:sz w:val="32"/>
          <w:szCs w:val="32"/>
          <w:u w:val="none"/>
          <w14:textFill>
            <w14:solidFill>
              <w14:schemeClr w14:val="tx1"/>
            </w14:solidFill>
          </w14:textFill>
        </w:rPr>
      </w:pPr>
      <w:r>
        <w:rPr>
          <w:rFonts w:hint="eastAsia" w:ascii="楷体_GB2312" w:hAnsi="楷体_GB2312" w:eastAsia="楷体_GB2312" w:cs="楷体_GB2312"/>
          <w:b w:val="0"/>
          <w:bCs w:val="0"/>
          <w:color w:val="000000" w:themeColor="text1"/>
          <w:sz w:val="32"/>
          <w:szCs w:val="32"/>
          <w:lang w:val="en-US" w:eastAsia="zh-CN"/>
          <w14:textFill>
            <w14:solidFill>
              <w14:schemeClr w14:val="tx1"/>
            </w14:solidFill>
          </w14:textFill>
        </w:rPr>
        <w:t>1、</w:t>
      </w:r>
      <w:r>
        <w:rPr>
          <w:rFonts w:hint="eastAsia" w:ascii="仿宋_GB2312" w:hAnsi="仿宋_GB2312" w:eastAsia="仿宋_GB2312" w:cs="仿宋_GB2312"/>
          <w:b w:val="0"/>
          <w:bCs w:val="0"/>
          <w:i w:val="0"/>
          <w:caps w:val="0"/>
          <w:color w:val="000000" w:themeColor="text1"/>
          <w:spacing w:val="0"/>
          <w:sz w:val="32"/>
          <w:szCs w:val="32"/>
          <w:u w:val="none"/>
          <w14:textFill>
            <w14:solidFill>
              <w14:schemeClr w14:val="tx1"/>
            </w14:solidFill>
          </w14:textFill>
        </w:rPr>
        <w:t>河南省卫生健康委《关于进一步做好基层医疗卫生机构实施国家基本药物制度绩效考核工作的通知》（豫卫药政〔2019〕10号）</w:t>
      </w:r>
    </w:p>
    <w:p>
      <w:pPr>
        <w:pStyle w:val="2"/>
        <w:keepNext w:val="0"/>
        <w:keepLines w:val="0"/>
        <w:pageBreakBefore w:val="0"/>
        <w:widowControl/>
        <w:numPr>
          <w:numId w:val="0"/>
        </w:numPr>
        <w:suppressLineNumbers w:val="0"/>
        <w:shd w:val="clear"/>
        <w:kinsoku/>
        <w:wordWrap/>
        <w:overflowPunct/>
        <w:topLinePunct w:val="0"/>
        <w:autoSpaceDE/>
        <w:autoSpaceDN/>
        <w:bidi w:val="0"/>
        <w:adjustRightInd w:val="0"/>
        <w:snapToGrid/>
        <w:spacing w:before="0" w:beforeAutospacing="0" w:after="0" w:afterAutospacing="0" w:line="570" w:lineRule="exact"/>
        <w:ind w:right="0" w:rightChars="0" w:firstLine="640" w:firstLineChars="200"/>
        <w:jc w:val="both"/>
        <w:textAlignment w:val="auto"/>
        <w:rPr>
          <w:rFonts w:hint="eastAsia" w:ascii="仿宋_GB2312" w:hAnsi="仿宋_GB2312" w:eastAsia="仿宋_GB2312" w:cs="仿宋_GB2312"/>
          <w:b w:val="0"/>
          <w:bCs w:val="0"/>
          <w:i w:val="0"/>
          <w:caps w:val="0"/>
          <w:color w:val="000000" w:themeColor="text1"/>
          <w:spacing w:val="0"/>
          <w:sz w:val="32"/>
          <w:szCs w:val="32"/>
          <w:u w:val="none"/>
          <w:shd w:val="clear" w:fill="FFFFFF"/>
          <w:lang w:eastAsia="zh-CN"/>
          <w14:textFill>
            <w14:solidFill>
              <w14:schemeClr w14:val="tx1"/>
            </w14:solidFill>
          </w14:textFill>
        </w:rPr>
      </w:pPr>
      <w:r>
        <w:rPr>
          <w:rFonts w:hint="eastAsia" w:ascii="仿宋_GB2312" w:hAnsi="仿宋_GB2312" w:eastAsia="仿宋_GB2312" w:cs="仿宋_GB2312"/>
          <w:b w:val="0"/>
          <w:bCs w:val="0"/>
          <w:i w:val="0"/>
          <w:caps w:val="0"/>
          <w:color w:val="000000" w:themeColor="text1"/>
          <w:spacing w:val="0"/>
          <w:sz w:val="32"/>
          <w:szCs w:val="32"/>
          <w:u w:val="none"/>
          <w:shd w:val="clear" w:fill="FFFFFF"/>
          <w:lang w:val="en-US" w:eastAsia="zh-CN"/>
          <w14:textFill>
            <w14:solidFill>
              <w14:schemeClr w14:val="tx1"/>
            </w14:solidFill>
          </w14:textFill>
        </w:rPr>
        <w:t>2、</w:t>
      </w:r>
      <w:r>
        <w:rPr>
          <w:rFonts w:hint="eastAsia" w:ascii="仿宋_GB2312" w:hAnsi="仿宋_GB2312" w:eastAsia="仿宋_GB2312" w:cs="仿宋_GB2312"/>
          <w:b w:val="0"/>
          <w:bCs w:val="0"/>
          <w:i w:val="0"/>
          <w:caps w:val="0"/>
          <w:color w:val="000000" w:themeColor="text1"/>
          <w:spacing w:val="0"/>
          <w:sz w:val="32"/>
          <w:szCs w:val="32"/>
          <w:u w:val="none"/>
          <w:shd w:val="clear" w:fill="FFFFFF"/>
          <w14:textFill>
            <w14:solidFill>
              <w14:schemeClr w14:val="tx1"/>
            </w14:solidFill>
          </w14:textFill>
        </w:rPr>
        <w:t>郑州市卫生健康委员会 郑州市工业和信息化委员会  郑州市财政局 郑州市市场监督管理局  郑州市医疗保障局</w:t>
      </w:r>
      <w:r>
        <w:rPr>
          <w:rFonts w:hint="eastAsia" w:ascii="仿宋_GB2312" w:hAnsi="仿宋_GB2312" w:eastAsia="仿宋_GB2312" w:cs="仿宋_GB2312"/>
          <w:b w:val="0"/>
          <w:bCs w:val="0"/>
          <w:i w:val="0"/>
          <w:caps w:val="0"/>
          <w:color w:val="000000" w:themeColor="text1"/>
          <w:spacing w:val="0"/>
          <w:sz w:val="32"/>
          <w:szCs w:val="32"/>
          <w:u w:val="none"/>
          <w:shd w:val="clear" w:fill="FFFFFF"/>
          <w:lang w:eastAsia="zh-CN"/>
          <w14:textFill>
            <w14:solidFill>
              <w14:schemeClr w14:val="tx1"/>
            </w14:solidFill>
          </w14:textFill>
        </w:rPr>
        <w:t>《</w:t>
      </w:r>
      <w:r>
        <w:rPr>
          <w:rFonts w:hint="eastAsia" w:ascii="仿宋_GB2312" w:hAnsi="仿宋_GB2312" w:eastAsia="仿宋_GB2312" w:cs="仿宋_GB2312"/>
          <w:b w:val="0"/>
          <w:bCs w:val="0"/>
          <w:i w:val="0"/>
          <w:caps w:val="0"/>
          <w:color w:val="000000" w:themeColor="text1"/>
          <w:spacing w:val="0"/>
          <w:sz w:val="32"/>
          <w:szCs w:val="32"/>
          <w:u w:val="none"/>
          <w:shd w:val="clear" w:fill="FFFFFF"/>
          <w14:textFill>
            <w14:solidFill>
              <w14:schemeClr w14:val="tx1"/>
            </w14:solidFill>
          </w14:textFill>
        </w:rPr>
        <w:t>关于完善国家基本药物制度的实施意见</w:t>
      </w:r>
      <w:r>
        <w:rPr>
          <w:rFonts w:hint="eastAsia" w:ascii="仿宋_GB2312" w:hAnsi="仿宋_GB2312" w:eastAsia="仿宋_GB2312" w:cs="仿宋_GB2312"/>
          <w:b w:val="0"/>
          <w:bCs w:val="0"/>
          <w:i w:val="0"/>
          <w:caps w:val="0"/>
          <w:color w:val="000000" w:themeColor="text1"/>
          <w:spacing w:val="0"/>
          <w:sz w:val="32"/>
          <w:szCs w:val="32"/>
          <w:u w:val="none"/>
          <w:shd w:val="clear" w:fill="FFFFFF"/>
          <w:lang w:eastAsia="zh-CN"/>
          <w14:textFill>
            <w14:solidFill>
              <w14:schemeClr w14:val="tx1"/>
            </w14:solidFill>
          </w14:textFill>
        </w:rPr>
        <w:t>》（</w:t>
      </w:r>
      <w:r>
        <w:rPr>
          <w:rFonts w:hint="eastAsia" w:ascii="仿宋_GB2312" w:hAnsi="仿宋_GB2312" w:eastAsia="仿宋_GB2312" w:cs="仿宋_GB2312"/>
          <w:b w:val="0"/>
          <w:bCs w:val="0"/>
          <w:i w:val="0"/>
          <w:caps w:val="0"/>
          <w:color w:val="000000" w:themeColor="text1"/>
          <w:spacing w:val="0"/>
          <w:sz w:val="32"/>
          <w:szCs w:val="32"/>
          <w:u w:val="none"/>
          <w:shd w:val="clear" w:fill="FFFFFF"/>
          <w14:textFill>
            <w14:solidFill>
              <w14:schemeClr w14:val="tx1"/>
            </w14:solidFill>
          </w14:textFill>
        </w:rPr>
        <w:t>郑卫药政〔2019〕7号</w:t>
      </w:r>
      <w:r>
        <w:rPr>
          <w:rFonts w:hint="eastAsia" w:ascii="仿宋_GB2312" w:hAnsi="仿宋_GB2312" w:eastAsia="仿宋_GB2312" w:cs="仿宋_GB2312"/>
          <w:b w:val="0"/>
          <w:bCs w:val="0"/>
          <w:i w:val="0"/>
          <w:caps w:val="0"/>
          <w:color w:val="000000" w:themeColor="text1"/>
          <w:spacing w:val="0"/>
          <w:sz w:val="32"/>
          <w:szCs w:val="32"/>
          <w:u w:val="none"/>
          <w:shd w:val="clear" w:fill="FFFFFF"/>
          <w:lang w:eastAsia="zh-CN"/>
          <w14:textFill>
            <w14:solidFill>
              <w14:schemeClr w14:val="tx1"/>
            </w14:solidFill>
          </w14:textFill>
        </w:rPr>
        <w:t>）</w:t>
      </w:r>
    </w:p>
    <w:p>
      <w:pPr>
        <w:pStyle w:val="2"/>
        <w:keepNext w:val="0"/>
        <w:keepLines w:val="0"/>
        <w:pageBreakBefore w:val="0"/>
        <w:widowControl/>
        <w:numPr>
          <w:ilvl w:val="0"/>
          <w:numId w:val="3"/>
        </w:numPr>
        <w:suppressLineNumbers w:val="0"/>
        <w:shd w:val="clear"/>
        <w:kinsoku/>
        <w:wordWrap/>
        <w:overflowPunct/>
        <w:topLinePunct w:val="0"/>
        <w:autoSpaceDE/>
        <w:autoSpaceDN/>
        <w:bidi w:val="0"/>
        <w:adjustRightInd w:val="0"/>
        <w:snapToGrid/>
        <w:spacing w:before="0" w:beforeAutospacing="0" w:after="0" w:afterAutospacing="0" w:line="570" w:lineRule="exact"/>
        <w:ind w:left="800" w:leftChars="0" w:right="0" w:rightChars="0" w:firstLine="0" w:firstLineChars="0"/>
        <w:jc w:val="both"/>
        <w:textAlignment w:val="auto"/>
        <w:rPr>
          <w:rFonts w:hint="eastAsia" w:ascii="楷体_GB2312" w:hAnsi="楷体_GB2312" w:eastAsia="楷体_GB2312" w:cs="楷体_GB2312"/>
          <w:b w:val="0"/>
          <w:bCs w:val="0"/>
          <w:i w:val="0"/>
          <w:caps w:val="0"/>
          <w:color w:val="000000" w:themeColor="text1"/>
          <w:spacing w:val="0"/>
          <w:sz w:val="32"/>
          <w:szCs w:val="32"/>
          <w:u w:val="none"/>
          <w:shd w:val="clear" w:fill="FFFFFF"/>
          <w:lang w:val="en-US" w:eastAsia="zh-CN"/>
          <w14:textFill>
            <w14:solidFill>
              <w14:schemeClr w14:val="tx1"/>
            </w14:solidFill>
          </w14:textFill>
        </w:rPr>
      </w:pPr>
      <w:r>
        <w:rPr>
          <w:rFonts w:hint="eastAsia" w:ascii="楷体_GB2312" w:hAnsi="楷体_GB2312" w:eastAsia="楷体_GB2312" w:cs="楷体_GB2312"/>
          <w:b w:val="0"/>
          <w:bCs w:val="0"/>
          <w:i w:val="0"/>
          <w:caps w:val="0"/>
          <w:color w:val="000000" w:themeColor="text1"/>
          <w:spacing w:val="0"/>
          <w:sz w:val="32"/>
          <w:szCs w:val="32"/>
          <w:u w:val="none"/>
          <w:shd w:val="clear" w:fill="FFFFFF"/>
          <w:lang w:val="en-US" w:eastAsia="zh-CN"/>
          <w14:textFill>
            <w14:solidFill>
              <w14:schemeClr w14:val="tx1"/>
            </w14:solidFill>
          </w14:textFill>
        </w:rPr>
        <w:t>目的意义</w:t>
      </w:r>
    </w:p>
    <w:p>
      <w:pPr>
        <w:pStyle w:val="2"/>
        <w:keepNext w:val="0"/>
        <w:keepLines w:val="0"/>
        <w:pageBreakBefore w:val="0"/>
        <w:widowControl/>
        <w:numPr>
          <w:ilvl w:val="0"/>
          <w:numId w:val="0"/>
        </w:numPr>
        <w:suppressLineNumbers w:val="0"/>
        <w:shd w:val="clear"/>
        <w:kinsoku/>
        <w:wordWrap/>
        <w:overflowPunct/>
        <w:topLinePunct w:val="0"/>
        <w:autoSpaceDE/>
        <w:autoSpaceDN/>
        <w:bidi w:val="0"/>
        <w:adjustRightInd w:val="0"/>
        <w:snapToGrid/>
        <w:spacing w:before="0" w:beforeAutospacing="0" w:after="0" w:afterAutospacing="0" w:line="570" w:lineRule="exact"/>
        <w:ind w:right="0" w:rightChars="0" w:firstLine="640" w:firstLineChars="200"/>
        <w:jc w:val="both"/>
        <w:textAlignment w:val="auto"/>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t>巩固国家基本药物制度实施成果，掌握基本药物制度实施情况，规范基层医疗卫生机构药品采购、使用和管理，提高基本药物制度补助资金使用效益，确保国家基本药物制度各项政策落实，保障群众用药安全，减轻患者医药费用负担。</w:t>
      </w:r>
    </w:p>
    <w:p>
      <w:pPr>
        <w:pStyle w:val="2"/>
        <w:keepNext w:val="0"/>
        <w:keepLines w:val="0"/>
        <w:pageBreakBefore w:val="0"/>
        <w:widowControl/>
        <w:numPr>
          <w:ilvl w:val="0"/>
          <w:numId w:val="3"/>
        </w:numPr>
        <w:suppressLineNumbers w:val="0"/>
        <w:shd w:val="clear"/>
        <w:kinsoku/>
        <w:wordWrap/>
        <w:overflowPunct/>
        <w:topLinePunct w:val="0"/>
        <w:autoSpaceDE/>
        <w:autoSpaceDN/>
        <w:bidi w:val="0"/>
        <w:adjustRightInd w:val="0"/>
        <w:snapToGrid/>
        <w:spacing w:before="0" w:beforeAutospacing="0" w:after="0" w:afterAutospacing="0" w:line="570" w:lineRule="exact"/>
        <w:ind w:left="800" w:leftChars="0" w:right="0" w:rightChars="0" w:firstLine="0" w:firstLineChars="0"/>
        <w:jc w:val="both"/>
        <w:textAlignment w:val="auto"/>
        <w:rPr>
          <w:rFonts w:hint="eastAsia" w:ascii="楷体_GB2312" w:hAnsi="楷体_GB2312" w:eastAsia="楷体_GB2312" w:cs="楷体_GB2312"/>
          <w:i w:val="0"/>
          <w:caps w:val="0"/>
          <w:color w:val="000000" w:themeColor="text1"/>
          <w:spacing w:val="0"/>
          <w:sz w:val="32"/>
          <w:szCs w:val="32"/>
          <w:u w:val="none"/>
          <w:lang w:val="en-US" w:eastAsia="zh-CN"/>
          <w14:textFill>
            <w14:solidFill>
              <w14:schemeClr w14:val="tx1"/>
            </w14:solidFill>
          </w14:textFill>
        </w:rPr>
      </w:pPr>
      <w:r>
        <w:rPr>
          <w:rFonts w:hint="eastAsia" w:ascii="楷体_GB2312" w:hAnsi="楷体_GB2312" w:eastAsia="楷体_GB2312" w:cs="楷体_GB2312"/>
          <w:i w:val="0"/>
          <w:caps w:val="0"/>
          <w:color w:val="000000" w:themeColor="text1"/>
          <w:spacing w:val="0"/>
          <w:sz w:val="32"/>
          <w:szCs w:val="32"/>
          <w:u w:val="none"/>
          <w:lang w:val="en-US" w:eastAsia="zh-CN"/>
          <w14:textFill>
            <w14:solidFill>
              <w14:schemeClr w14:val="tx1"/>
            </w14:solidFill>
          </w14:textFill>
        </w:rPr>
        <w:t>目标任务</w:t>
      </w:r>
    </w:p>
    <w:p>
      <w:pPr>
        <w:pStyle w:val="2"/>
        <w:keepNext w:val="0"/>
        <w:keepLines w:val="0"/>
        <w:pageBreakBefore w:val="0"/>
        <w:widowControl/>
        <w:shd w:val="clear"/>
        <w:kinsoku/>
        <w:wordWrap/>
        <w:overflowPunct/>
        <w:topLinePunct w:val="0"/>
        <w:autoSpaceDE/>
        <w:autoSpaceDN/>
        <w:bidi w:val="0"/>
        <w:adjustRightInd w:val="0"/>
        <w:snapToGrid w:val="0"/>
        <w:spacing w:before="0" w:beforeAutospacing="0" w:after="0" w:afterAutospacing="0" w:line="570" w:lineRule="exact"/>
        <w:ind w:firstLine="480" w:firstLineChars="150"/>
        <w:textAlignment w:val="auto"/>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强化基层医疗卫生机构的公益性和责任意识，提高基层医疗卫生机构服务质量和工作效率，为广大人民群众提供优质高效基本医疗卫生服务；根据基层医疗卫生工作人员的德才表现、工作实绩，激励督促认真履行职责，提高政治业务素质，加强工作的积极性、主动性和创造性；加大分配改革力度，使工作人员收入与岗位职责、工作业绩和实际贡献相挂钩，构建合理有序的收入分配格局。</w:t>
      </w:r>
    </w:p>
    <w:p>
      <w:pPr>
        <w:pStyle w:val="2"/>
        <w:keepNext w:val="0"/>
        <w:keepLines w:val="0"/>
        <w:pageBreakBefore w:val="0"/>
        <w:widowControl/>
        <w:numPr>
          <w:ilvl w:val="0"/>
          <w:numId w:val="3"/>
        </w:numPr>
        <w:shd w:val="clear"/>
        <w:kinsoku/>
        <w:wordWrap/>
        <w:overflowPunct/>
        <w:topLinePunct w:val="0"/>
        <w:autoSpaceDE/>
        <w:autoSpaceDN/>
        <w:bidi w:val="0"/>
        <w:adjustRightInd w:val="0"/>
        <w:snapToGrid w:val="0"/>
        <w:spacing w:before="0" w:beforeAutospacing="0" w:after="0" w:afterAutospacing="0" w:line="570" w:lineRule="exact"/>
        <w:ind w:left="800" w:leftChars="0" w:firstLine="0" w:firstLineChars="0"/>
        <w:textAlignment w:val="auto"/>
        <w:rPr>
          <w:rFonts w:hint="eastAsia" w:ascii="楷体_GB2312" w:hAnsi="楷体_GB2312" w:eastAsia="楷体_GB2312" w:cs="楷体_GB2312"/>
          <w:color w:val="000000" w:themeColor="text1"/>
          <w:sz w:val="32"/>
          <w:szCs w:val="32"/>
          <w:shd w:val="clear" w:color="auto" w:fill="FFFFFF"/>
          <w:lang w:val="en-US" w:eastAsia="zh-CN"/>
          <w14:textFill>
            <w14:solidFill>
              <w14:schemeClr w14:val="tx1"/>
            </w14:solidFill>
          </w14:textFill>
        </w:rPr>
      </w:pPr>
      <w:r>
        <w:rPr>
          <w:rFonts w:hint="eastAsia" w:ascii="楷体_GB2312" w:hAnsi="楷体_GB2312" w:eastAsia="楷体_GB2312" w:cs="楷体_GB2312"/>
          <w:color w:val="000000" w:themeColor="text1"/>
          <w:sz w:val="32"/>
          <w:szCs w:val="32"/>
          <w:shd w:val="clear" w:color="auto" w:fill="FFFFFF"/>
          <w:lang w:val="en-US" w:eastAsia="zh-CN"/>
          <w14:textFill>
            <w14:solidFill>
              <w14:schemeClr w14:val="tx1"/>
            </w14:solidFill>
          </w14:textFill>
        </w:rPr>
        <w:t>适用范围</w:t>
      </w:r>
    </w:p>
    <w:p>
      <w:pPr>
        <w:pStyle w:val="2"/>
        <w:keepNext w:val="0"/>
        <w:keepLines w:val="0"/>
        <w:pageBreakBefore w:val="0"/>
        <w:widowControl/>
        <w:numPr>
          <w:ilvl w:val="0"/>
          <w:numId w:val="0"/>
        </w:numPr>
        <w:shd w:val="clear"/>
        <w:kinsoku/>
        <w:wordWrap/>
        <w:overflowPunct/>
        <w:topLinePunct w:val="0"/>
        <w:autoSpaceDE/>
        <w:autoSpaceDN/>
        <w:bidi w:val="0"/>
        <w:adjustRightInd w:val="0"/>
        <w:snapToGrid w:val="0"/>
        <w:spacing w:before="0" w:beforeAutospacing="0" w:after="0" w:afterAutospacing="0" w:line="570" w:lineRule="exact"/>
        <w:ind w:right="0" w:rightChars="0" w:firstLine="320" w:firstLineChars="100"/>
        <w:textAlignment w:val="auto"/>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区属各城市公立医院、</w:t>
      </w:r>
      <w:r>
        <w:rPr>
          <w:rFonts w:hint="eastAsia" w:ascii="仿宋_GB2312" w:hAnsi="仿宋_GB2312" w:eastAsia="仿宋_GB2312" w:cs="仿宋_GB2312"/>
          <w:color w:val="000000" w:themeColor="text1"/>
          <w:sz w:val="32"/>
          <w:szCs w:val="32"/>
          <w14:textFill>
            <w14:solidFill>
              <w14:schemeClr w14:val="tx1"/>
            </w14:solidFill>
          </w14:textFill>
        </w:rPr>
        <w:t>桐柏路社区卫生服务中心、航海西路社区卫生服务中心、林山寨社区卫生服务中心、</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须水镇卫生院及村卫生所</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w:t>
      </w:r>
    </w:p>
    <w:p>
      <w:pPr>
        <w:pStyle w:val="2"/>
        <w:keepNext w:val="0"/>
        <w:keepLines w:val="0"/>
        <w:pageBreakBefore w:val="0"/>
        <w:widowControl/>
        <w:numPr>
          <w:ilvl w:val="0"/>
          <w:numId w:val="3"/>
        </w:numPr>
        <w:shd w:val="clear"/>
        <w:kinsoku/>
        <w:wordWrap/>
        <w:overflowPunct/>
        <w:topLinePunct w:val="0"/>
        <w:autoSpaceDE/>
        <w:autoSpaceDN/>
        <w:bidi w:val="0"/>
        <w:adjustRightInd w:val="0"/>
        <w:snapToGrid w:val="0"/>
        <w:spacing w:before="0" w:beforeAutospacing="0" w:after="0" w:afterAutospacing="0" w:line="570" w:lineRule="exact"/>
        <w:ind w:left="800" w:leftChars="0" w:right="0" w:rightChars="0" w:firstLine="0" w:firstLineChars="0"/>
        <w:textAlignment w:val="auto"/>
        <w:rPr>
          <w:rFonts w:hint="eastAsia" w:ascii="楷体_GB2312" w:hAnsi="楷体_GB2312" w:eastAsia="楷体_GB2312" w:cs="楷体_GB2312"/>
          <w:color w:val="000000" w:themeColor="text1"/>
          <w:sz w:val="32"/>
          <w:szCs w:val="32"/>
          <w:shd w:val="clear" w:color="auto" w:fill="FFFFFF"/>
          <w:lang w:val="en-US" w:eastAsia="zh-CN"/>
          <w14:textFill>
            <w14:solidFill>
              <w14:schemeClr w14:val="tx1"/>
            </w14:solidFill>
          </w14:textFill>
        </w:rPr>
      </w:pPr>
      <w:r>
        <w:rPr>
          <w:rFonts w:hint="eastAsia" w:ascii="楷体_GB2312" w:hAnsi="楷体_GB2312" w:eastAsia="楷体_GB2312" w:cs="楷体_GB2312"/>
          <w:color w:val="000000" w:themeColor="text1"/>
          <w:sz w:val="32"/>
          <w:szCs w:val="32"/>
          <w:shd w:val="clear" w:color="auto" w:fill="FFFFFF"/>
          <w:lang w:val="en-US" w:eastAsia="zh-CN"/>
          <w14:textFill>
            <w14:solidFill>
              <w14:schemeClr w14:val="tx1"/>
            </w14:solidFill>
          </w14:textFill>
        </w:rPr>
        <w:t>建设标准</w:t>
      </w:r>
    </w:p>
    <w:p>
      <w:pPr>
        <w:pStyle w:val="2"/>
        <w:keepNext w:val="0"/>
        <w:keepLines w:val="0"/>
        <w:pageBreakBefore w:val="0"/>
        <w:widowControl/>
        <w:numPr>
          <w:ilvl w:val="0"/>
          <w:numId w:val="0"/>
        </w:numPr>
        <w:shd w:val="clear"/>
        <w:kinsoku/>
        <w:wordWrap/>
        <w:overflowPunct/>
        <w:topLinePunct w:val="0"/>
        <w:autoSpaceDE/>
        <w:autoSpaceDN/>
        <w:bidi w:val="0"/>
        <w:adjustRightInd w:val="0"/>
        <w:snapToGrid w:val="0"/>
        <w:spacing w:before="0" w:beforeAutospacing="0" w:after="0" w:afterAutospacing="0" w:line="570" w:lineRule="exact"/>
        <w:ind w:right="0" w:rightChars="0" w:firstLine="640" w:firstLineChars="200"/>
        <w:jc w:val="both"/>
        <w:textAlignment w:val="auto"/>
        <w:rPr>
          <w:rFonts w:hint="eastAsia" w:ascii="仿宋_GB2312" w:hAnsi="仿宋_GB2312" w:eastAsia="仿宋_GB2312" w:cs="仿宋_GB2312"/>
          <w:b w:val="0"/>
          <w:bCs w:val="0"/>
          <w:i w:val="0"/>
          <w:caps w:val="0"/>
          <w:color w:val="000000" w:themeColor="text1"/>
          <w:spacing w:val="0"/>
          <w:sz w:val="32"/>
          <w:szCs w:val="32"/>
          <w:u w:val="none"/>
          <w14:textFill>
            <w14:solidFill>
              <w14:schemeClr w14:val="tx1"/>
            </w14:solidFill>
          </w14:textFill>
        </w:rPr>
      </w:pPr>
      <w:r>
        <w:rPr>
          <w:rFonts w:hint="eastAsia" w:ascii="仿宋_GB2312" w:hAnsi="仿宋_GB2312" w:eastAsia="仿宋_GB2312" w:cs="仿宋_GB2312"/>
          <w:b w:val="0"/>
          <w:bCs w:val="0"/>
          <w:i w:val="0"/>
          <w:caps w:val="0"/>
          <w:color w:val="000000" w:themeColor="text1"/>
          <w:spacing w:val="0"/>
          <w:sz w:val="32"/>
          <w:szCs w:val="32"/>
          <w:u w:val="none"/>
          <w14:textFill>
            <w14:solidFill>
              <w14:schemeClr w14:val="tx1"/>
            </w14:solidFill>
          </w14:textFill>
        </w:rPr>
        <w:t>河南省卫生健康委《关于进一步做好基层医疗卫生机构实施国家基本药物制度绩效考核工作的通知》（豫卫药政〔2019〕10号）</w:t>
      </w:r>
    </w:p>
    <w:p>
      <w:pPr>
        <w:pStyle w:val="2"/>
        <w:keepNext w:val="0"/>
        <w:keepLines w:val="0"/>
        <w:pageBreakBefore w:val="0"/>
        <w:widowControl/>
        <w:numPr>
          <w:ilvl w:val="0"/>
          <w:numId w:val="3"/>
        </w:numPr>
        <w:shd w:val="clear"/>
        <w:kinsoku/>
        <w:wordWrap/>
        <w:overflowPunct/>
        <w:topLinePunct w:val="0"/>
        <w:autoSpaceDE/>
        <w:autoSpaceDN/>
        <w:bidi w:val="0"/>
        <w:adjustRightInd w:val="0"/>
        <w:snapToGrid w:val="0"/>
        <w:spacing w:before="0" w:beforeAutospacing="0" w:after="0" w:afterAutospacing="0" w:line="570" w:lineRule="exact"/>
        <w:ind w:left="800" w:leftChars="0" w:right="0" w:rightChars="0" w:firstLine="0" w:firstLineChars="0"/>
        <w:textAlignment w:val="auto"/>
        <w:rPr>
          <w:rFonts w:hint="eastAsia" w:ascii="楷体_GB2312" w:hAnsi="楷体_GB2312" w:eastAsia="楷体_GB2312" w:cs="楷体_GB2312"/>
          <w:color w:val="000000" w:themeColor="text1"/>
          <w:sz w:val="32"/>
          <w:szCs w:val="32"/>
          <w:shd w:val="clear" w:color="auto" w:fill="FFFFFF"/>
          <w:lang w:val="en-US" w:eastAsia="zh-CN"/>
          <w14:textFill>
            <w14:solidFill>
              <w14:schemeClr w14:val="tx1"/>
            </w14:solidFill>
          </w14:textFill>
        </w:rPr>
      </w:pPr>
      <w:r>
        <w:rPr>
          <w:rFonts w:hint="eastAsia" w:ascii="楷体_GB2312" w:hAnsi="楷体_GB2312" w:eastAsia="楷体_GB2312" w:cs="楷体_GB2312"/>
          <w:color w:val="000000" w:themeColor="text1"/>
          <w:sz w:val="32"/>
          <w:szCs w:val="32"/>
          <w:shd w:val="clear" w:color="auto" w:fill="FFFFFF"/>
          <w:lang w:val="en-US" w:eastAsia="zh-CN"/>
          <w14:textFill>
            <w14:solidFill>
              <w14:schemeClr w14:val="tx1"/>
            </w14:solidFill>
          </w14:textFill>
        </w:rPr>
        <w:t>其他事项</w:t>
      </w:r>
    </w:p>
    <w:p>
      <w:pPr>
        <w:pStyle w:val="2"/>
        <w:keepNext w:val="0"/>
        <w:keepLines w:val="0"/>
        <w:pageBreakBefore w:val="0"/>
        <w:widowControl/>
        <w:shd w:val="clear"/>
        <w:kinsoku/>
        <w:wordWrap/>
        <w:overflowPunct/>
        <w:topLinePunct w:val="0"/>
        <w:autoSpaceDE/>
        <w:autoSpaceDN/>
        <w:bidi w:val="0"/>
        <w:adjustRightInd w:val="0"/>
        <w:snapToGrid w:val="0"/>
        <w:spacing w:before="0" w:beforeAutospacing="0" w:after="0" w:afterAutospacing="0" w:line="57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区卫健委负责组织实施区属城市公立医院</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桐柏路社区卫生服务中心、航海西路社区卫生服务中心、林山寨社区卫生服务中心</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及须水镇卫生院的基本药物制度绩效考核工作，须水镇卫生院根据本办法和上级部门相关规定制定本辖区范围内基本药物制度绩效考核方案，组织实施本辖区范围内村卫生所基本药物制度绩效考核工作。</w:t>
      </w:r>
    </w:p>
    <w:p>
      <w:pPr>
        <w:pStyle w:val="2"/>
        <w:widowControl/>
        <w:numPr>
          <w:ilvl w:val="0"/>
          <w:numId w:val="0"/>
        </w:numPr>
        <w:shd w:val="clear"/>
        <w:snapToGrid w:val="0"/>
        <w:spacing w:before="0" w:beforeAutospacing="0" w:after="0" w:afterAutospacing="0" w:line="570" w:lineRule="exact"/>
        <w:ind w:right="0" w:rightChars="0"/>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pPr>
    </w:p>
    <w:p>
      <w:pPr>
        <w:pStyle w:val="2"/>
        <w:widowControl/>
        <w:numPr>
          <w:ilvl w:val="0"/>
          <w:numId w:val="0"/>
        </w:numPr>
        <w:shd w:val="clear"/>
        <w:snapToGrid w:val="0"/>
        <w:spacing w:before="0" w:beforeAutospacing="0" w:after="0" w:afterAutospacing="0" w:line="570" w:lineRule="exact"/>
        <w:ind w:right="0" w:rightChars="0"/>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 xml:space="preserve"> </w:t>
      </w:r>
    </w:p>
    <w:p>
      <w:pPr>
        <w:pStyle w:val="2"/>
        <w:keepNext w:val="0"/>
        <w:keepLines w:val="0"/>
        <w:pageBreakBefore w:val="0"/>
        <w:widowControl/>
        <w:numPr>
          <w:ilvl w:val="0"/>
          <w:numId w:val="0"/>
        </w:numPr>
        <w:suppressLineNumbers w:val="0"/>
        <w:shd w:val="clear"/>
        <w:wordWrap/>
        <w:bidi w:val="0"/>
        <w:snapToGrid/>
        <w:spacing w:before="0" w:beforeAutospacing="0" w:after="0" w:afterAutospacing="0" w:line="570" w:lineRule="atLeast"/>
        <w:ind w:left="800" w:leftChars="0" w:right="0" w:rightChars="0"/>
        <w:jc w:val="both"/>
        <w:rPr>
          <w:rFonts w:hint="eastAsia" w:ascii="仿宋_GB2312" w:hAnsi="仿宋_GB2312" w:eastAsia="仿宋_GB2312" w:cs="仿宋_GB2312"/>
          <w:i w:val="0"/>
          <w:caps w:val="0"/>
          <w:color w:val="000000" w:themeColor="text1"/>
          <w:spacing w:val="0"/>
          <w:sz w:val="32"/>
          <w:szCs w:val="32"/>
          <w:u w:val="none"/>
          <w:lang w:val="en-US" w:eastAsia="zh-CN"/>
          <w14:textFill>
            <w14:solidFill>
              <w14:schemeClr w14:val="tx1"/>
            </w14:solidFill>
          </w14:textFill>
        </w:rPr>
      </w:pPr>
    </w:p>
    <w:p>
      <w:pPr>
        <w:pStyle w:val="2"/>
        <w:widowControl/>
        <w:numPr>
          <w:ilvl w:val="0"/>
          <w:numId w:val="0"/>
        </w:numPr>
        <w:shd w:val="clear"/>
        <w:snapToGrid w:val="0"/>
        <w:spacing w:before="0" w:beforeAutospacing="0" w:after="0" w:afterAutospacing="0"/>
        <w:ind w:right="0" w:rightChars="0"/>
        <w:jc w:val="both"/>
        <w:rPr>
          <w:rFonts w:hint="eastAsia" w:ascii="仿宋_GB2312" w:hAnsi="仿宋_GB2312" w:eastAsia="仿宋_GB2312" w:cs="仿宋_GB2312"/>
          <w:i w:val="0"/>
          <w:caps w:val="0"/>
          <w:color w:val="000000" w:themeColor="text1"/>
          <w:spacing w:val="0"/>
          <w:sz w:val="32"/>
          <w:szCs w:val="32"/>
          <w:u w:val="none"/>
          <w:lang w:val="en-US" w:eastAsia="zh-CN"/>
          <w14:textFill>
            <w14:solidFill>
              <w14:schemeClr w14:val="tx1"/>
            </w14:solidFill>
          </w14:textFill>
        </w:rPr>
      </w:pPr>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Tahoma">
    <w:panose1 w:val="020B0604030504040204"/>
    <w:charset w:val="00"/>
    <w:family w:val="auto"/>
    <w:pitch w:val="default"/>
    <w:sig w:usb0="E1002EFF" w:usb1="C000605B" w:usb2="00000029" w:usb3="00000000" w:csb0="200101FF" w:csb1="20280000"/>
  </w:font>
  <w:font w:name="楷体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928F923"/>
    <w:multiLevelType w:val="singleLevel"/>
    <w:tmpl w:val="A928F923"/>
    <w:lvl w:ilvl="0" w:tentative="0">
      <w:start w:val="1"/>
      <w:numFmt w:val="decimal"/>
      <w:lvlText w:val="%1."/>
      <w:lvlJc w:val="left"/>
      <w:pPr>
        <w:tabs>
          <w:tab w:val="left" w:pos="312"/>
        </w:tabs>
        <w:ind w:left="800" w:leftChars="0" w:firstLine="0" w:firstLineChars="0"/>
      </w:pPr>
    </w:lvl>
  </w:abstractNum>
  <w:abstractNum w:abstractNumId="1">
    <w:nsid w:val="C907929A"/>
    <w:multiLevelType w:val="singleLevel"/>
    <w:tmpl w:val="C907929A"/>
    <w:lvl w:ilvl="0" w:tentative="0">
      <w:start w:val="1"/>
      <w:numFmt w:val="chineseCounting"/>
      <w:suff w:val="space"/>
      <w:lvlText w:val="（%1）"/>
      <w:lvlJc w:val="left"/>
      <w:pPr>
        <w:ind w:left="640" w:leftChars="0" w:firstLine="0" w:firstLineChars="0"/>
      </w:pPr>
      <w:rPr>
        <w:rFonts w:hint="eastAsia"/>
      </w:rPr>
    </w:lvl>
  </w:abstractNum>
  <w:abstractNum w:abstractNumId="2">
    <w:nsid w:val="76396525"/>
    <w:multiLevelType w:val="singleLevel"/>
    <w:tmpl w:val="76396525"/>
    <w:lvl w:ilvl="0" w:tentative="0">
      <w:start w:val="1"/>
      <w:numFmt w:val="chineseCounting"/>
      <w:suff w:val="nothing"/>
      <w:lvlText w:val="（%1）"/>
      <w:lvlJc w:val="left"/>
      <w:pPr>
        <w:ind w:left="800" w:leftChars="0" w:firstLine="0" w:firstLineChars="0"/>
      </w:pPr>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5E46559"/>
    <w:rsid w:val="283852AB"/>
    <w:rsid w:val="2A754B92"/>
    <w:rsid w:val="415F35F2"/>
    <w:rsid w:val="42D736A8"/>
    <w:rsid w:val="47AC22BB"/>
    <w:rsid w:val="4A944332"/>
    <w:rsid w:val="4F634FAA"/>
    <w:rsid w:val="5A9B3F49"/>
    <w:rsid w:val="63233DAA"/>
    <w:rsid w:val="72CE74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2020-01-07T03:00:00Z</dcterms:created>
  <dc:creator>LENOVO</dc:creator>
  <cp:lastModifiedBy>萧然</cp:lastModifiedBy>
  <dcterms:modified xsi:type="dcterms:W3CDTF">2020-01-07T03:45:51Z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