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textAlignment w:val="center"/>
        <w:rPr>
          <w:rFonts w:hint="eastAsia" w:ascii="黑体" w:hAnsi="黑体" w:eastAsia="黑体" w:cs="黑体"/>
          <w:i w:val="0"/>
          <w:color w:val="000000"/>
          <w:kern w:val="0"/>
          <w:sz w:val="32"/>
          <w:szCs w:val="32"/>
          <w:u w:val="none"/>
          <w:lang w:val="en-US" w:eastAsia="zh-CN"/>
        </w:rPr>
      </w:pPr>
      <w:r>
        <w:rPr>
          <w:rFonts w:hint="eastAsia" w:ascii="黑体" w:hAnsi="黑体" w:eastAsia="黑体" w:cs="黑体"/>
          <w:i w:val="0"/>
          <w:color w:val="000000"/>
          <w:kern w:val="0"/>
          <w:sz w:val="32"/>
          <w:szCs w:val="32"/>
          <w:u w:val="none"/>
          <w:lang w:val="en-US" w:eastAsia="zh-CN"/>
        </w:rPr>
        <w:t>附件2</w:t>
      </w:r>
    </w:p>
    <w:tbl>
      <w:tblPr>
        <w:tblStyle w:val="4"/>
        <w:tblW w:w="143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1"/>
        <w:gridCol w:w="1016"/>
        <w:gridCol w:w="945"/>
        <w:gridCol w:w="1185"/>
        <w:gridCol w:w="1515"/>
        <w:gridCol w:w="1290"/>
        <w:gridCol w:w="1470"/>
        <w:gridCol w:w="6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6" w:hRule="atLeast"/>
        </w:trPr>
        <w:tc>
          <w:tcPr>
            <w:tcW w:w="14337" w:type="dxa"/>
            <w:gridSpan w:val="8"/>
            <w:tcBorders>
              <w:top w:val="nil"/>
              <w:left w:val="nil"/>
              <w:bottom w:val="single" w:color="000000" w:sz="4" w:space="0"/>
              <w:right w:val="nil"/>
            </w:tcBorders>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rPr>
              <w:t>郑州市中原区市场监督管理局随机抽查事项清单（第四版）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48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rPr>
              <w:t>序号</w:t>
            </w:r>
          </w:p>
        </w:tc>
        <w:tc>
          <w:tcPr>
            <w:tcW w:w="196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rPr>
              <w:t>抽查项目</w:t>
            </w:r>
          </w:p>
        </w:tc>
        <w:tc>
          <w:tcPr>
            <w:tcW w:w="118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rPr>
              <w:t>检查对象</w:t>
            </w:r>
          </w:p>
        </w:tc>
        <w:tc>
          <w:tcPr>
            <w:tcW w:w="151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rPr>
              <w:t>事项类别</w:t>
            </w:r>
          </w:p>
        </w:tc>
        <w:tc>
          <w:tcPr>
            <w:tcW w:w="12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rPr>
              <w:t>检查方式</w:t>
            </w:r>
          </w:p>
        </w:tc>
        <w:tc>
          <w:tcPr>
            <w:tcW w:w="147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rPr>
              <w:t>检查主体</w:t>
            </w:r>
          </w:p>
        </w:tc>
        <w:tc>
          <w:tcPr>
            <w:tcW w:w="643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rPr>
              <w:t>检查依据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5"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0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rPr>
              <w:t>抽查类别</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rPr>
              <w:t>抽查事项</w:t>
            </w:r>
          </w:p>
        </w:tc>
        <w:tc>
          <w:tcPr>
            <w:tcW w:w="118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51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2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47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643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16" w:hRule="atLeast"/>
        </w:trPr>
        <w:tc>
          <w:tcPr>
            <w:tcW w:w="48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1</w:t>
            </w:r>
          </w:p>
        </w:tc>
        <w:tc>
          <w:tcPr>
            <w:tcW w:w="10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top"/>
              <w:rPr>
                <w:rFonts w:hint="default" w:ascii="仿宋_GB2312" w:hAnsi="宋体" w:eastAsia="仿宋_GB2312" w:cs="仿宋_GB2312"/>
                <w:i w:val="0"/>
                <w:color w:val="000000"/>
                <w:kern w:val="0"/>
                <w:sz w:val="22"/>
                <w:szCs w:val="22"/>
                <w:u w:val="none"/>
                <w:lang w:val="en-US" w:eastAsia="zh-CN"/>
              </w:rPr>
            </w:pPr>
          </w:p>
          <w:p>
            <w:pPr>
              <w:widowControl/>
              <w:jc w:val="left"/>
              <w:textAlignment w:val="top"/>
              <w:rPr>
                <w:rFonts w:hint="default" w:ascii="仿宋_GB2312" w:hAnsi="宋体" w:eastAsia="仿宋_GB2312" w:cs="仿宋_GB2312"/>
                <w:i w:val="0"/>
                <w:color w:val="000000"/>
                <w:kern w:val="0"/>
                <w:sz w:val="22"/>
                <w:szCs w:val="22"/>
                <w:u w:val="none"/>
                <w:lang w:val="en-US" w:eastAsia="zh-CN"/>
              </w:rPr>
            </w:pPr>
          </w:p>
          <w:p>
            <w:pPr>
              <w:widowControl/>
              <w:jc w:val="left"/>
              <w:textAlignment w:val="top"/>
              <w:rPr>
                <w:rFonts w:hint="default" w:ascii="仿宋_GB2312" w:hAnsi="宋体" w:eastAsia="仿宋_GB2312" w:cs="仿宋_GB2312"/>
                <w:i w:val="0"/>
                <w:color w:val="000000"/>
                <w:kern w:val="0"/>
                <w:sz w:val="22"/>
                <w:szCs w:val="22"/>
                <w:u w:val="none"/>
                <w:lang w:val="en-US" w:eastAsia="zh-CN"/>
              </w:rPr>
            </w:pPr>
          </w:p>
          <w:p>
            <w:pPr>
              <w:widowControl/>
              <w:jc w:val="left"/>
              <w:textAlignment w:val="top"/>
              <w:rPr>
                <w:rFonts w:hint="default" w:ascii="仿宋_GB2312" w:hAnsi="宋体" w:eastAsia="仿宋_GB2312" w:cs="仿宋_GB2312"/>
                <w:i w:val="0"/>
                <w:color w:val="000000"/>
                <w:kern w:val="0"/>
                <w:sz w:val="22"/>
                <w:szCs w:val="22"/>
                <w:u w:val="none"/>
                <w:lang w:val="en-US" w:eastAsia="zh-CN"/>
              </w:rPr>
            </w:pPr>
          </w:p>
          <w:p>
            <w:pPr>
              <w:widowControl/>
              <w:jc w:val="left"/>
              <w:textAlignment w:val="top"/>
              <w:rPr>
                <w:rFonts w:hint="default" w:ascii="仿宋_GB2312" w:hAnsi="宋体" w:eastAsia="仿宋_GB2312" w:cs="仿宋_GB2312"/>
                <w:i w:val="0"/>
                <w:color w:val="000000"/>
                <w:kern w:val="0"/>
                <w:sz w:val="22"/>
                <w:szCs w:val="22"/>
                <w:u w:val="none"/>
                <w:lang w:val="en-US" w:eastAsia="zh-CN"/>
              </w:rPr>
            </w:pPr>
          </w:p>
          <w:p>
            <w:pPr>
              <w:widowControl/>
              <w:jc w:val="left"/>
              <w:textAlignment w:val="top"/>
              <w:rPr>
                <w:rFonts w:hint="default" w:ascii="仿宋_GB2312" w:hAnsi="宋体" w:eastAsia="仿宋_GB2312" w:cs="仿宋_GB2312"/>
                <w:i w:val="0"/>
                <w:color w:val="000000"/>
                <w:kern w:val="0"/>
                <w:sz w:val="22"/>
                <w:szCs w:val="22"/>
                <w:u w:val="none"/>
                <w:lang w:val="en-US" w:eastAsia="zh-CN"/>
              </w:rPr>
            </w:pPr>
          </w:p>
          <w:p>
            <w:pPr>
              <w:widowControl/>
              <w:jc w:val="left"/>
              <w:textAlignment w:val="top"/>
              <w:rPr>
                <w:rFonts w:hint="default" w:ascii="仿宋_GB2312" w:hAnsi="宋体" w:eastAsia="仿宋_GB2312" w:cs="仿宋_GB2312"/>
                <w:i w:val="0"/>
                <w:color w:val="000000"/>
                <w:kern w:val="0"/>
                <w:sz w:val="22"/>
                <w:szCs w:val="22"/>
                <w:u w:val="none"/>
                <w:lang w:val="en-US" w:eastAsia="zh-CN"/>
              </w:rPr>
            </w:pPr>
          </w:p>
          <w:p>
            <w:pPr>
              <w:widowControl/>
              <w:jc w:val="left"/>
              <w:textAlignment w:val="top"/>
              <w:rPr>
                <w:rFonts w:hint="default" w:ascii="仿宋_GB2312" w:hAnsi="宋体" w:eastAsia="仿宋_GB2312" w:cs="仿宋_GB2312"/>
                <w:i w:val="0"/>
                <w:color w:val="000000"/>
                <w:kern w:val="0"/>
                <w:sz w:val="22"/>
                <w:szCs w:val="22"/>
                <w:u w:val="none"/>
                <w:lang w:val="en-US" w:eastAsia="zh-CN"/>
              </w:rPr>
            </w:pPr>
          </w:p>
          <w:p>
            <w:pPr>
              <w:widowControl/>
              <w:jc w:val="left"/>
              <w:textAlignment w:val="top"/>
              <w:rPr>
                <w:rFonts w:hint="default" w:ascii="仿宋_GB2312" w:hAnsi="宋体" w:eastAsia="仿宋_GB2312" w:cs="仿宋_GB2312"/>
                <w:i w:val="0"/>
                <w:color w:val="000000"/>
                <w:kern w:val="0"/>
                <w:sz w:val="22"/>
                <w:szCs w:val="22"/>
                <w:u w:val="none"/>
                <w:lang w:val="en-US" w:eastAsia="zh-CN"/>
              </w:rPr>
            </w:pPr>
          </w:p>
          <w:p>
            <w:pPr>
              <w:widowControl/>
              <w:jc w:val="left"/>
              <w:textAlignment w:val="top"/>
              <w:rPr>
                <w:rFonts w:hint="default" w:ascii="仿宋_GB2312" w:hAnsi="宋体" w:eastAsia="仿宋_GB2312" w:cs="仿宋_GB2312"/>
                <w:i w:val="0"/>
                <w:color w:val="000000"/>
                <w:kern w:val="0"/>
                <w:sz w:val="22"/>
                <w:szCs w:val="22"/>
                <w:u w:val="none"/>
                <w:lang w:val="en-US" w:eastAsia="zh-CN"/>
              </w:rPr>
            </w:pPr>
          </w:p>
          <w:p>
            <w:pPr>
              <w:widowControl/>
              <w:jc w:val="left"/>
              <w:textAlignment w:val="top"/>
              <w:rPr>
                <w:rFonts w:hint="default" w:ascii="仿宋_GB2312" w:hAnsi="宋体" w:eastAsia="仿宋_GB2312" w:cs="仿宋_GB2312"/>
                <w:i w:val="0"/>
                <w:color w:val="000000"/>
                <w:kern w:val="0"/>
                <w:sz w:val="22"/>
                <w:szCs w:val="22"/>
                <w:u w:val="none"/>
                <w:lang w:val="en-US" w:eastAsia="zh-CN"/>
              </w:rPr>
            </w:pPr>
          </w:p>
          <w:p>
            <w:pPr>
              <w:widowControl/>
              <w:jc w:val="left"/>
              <w:textAlignment w:val="top"/>
              <w:rPr>
                <w:rFonts w:hint="default" w:ascii="仿宋_GB2312" w:hAnsi="宋体" w:eastAsia="仿宋_GB2312" w:cs="仿宋_GB2312"/>
                <w:i w:val="0"/>
                <w:color w:val="000000"/>
                <w:kern w:val="0"/>
                <w:sz w:val="22"/>
                <w:szCs w:val="22"/>
                <w:u w:val="none"/>
                <w:lang w:val="en-US" w:eastAsia="zh-CN"/>
              </w:rPr>
            </w:pPr>
          </w:p>
          <w:p>
            <w:pPr>
              <w:widowControl/>
              <w:jc w:val="left"/>
              <w:textAlignment w:val="top"/>
              <w:rPr>
                <w:rFonts w:hint="default" w:ascii="仿宋_GB2312" w:hAnsi="宋体" w:eastAsia="仿宋_GB2312" w:cs="仿宋_GB2312"/>
                <w:i w:val="0"/>
                <w:color w:val="000000"/>
                <w:kern w:val="0"/>
                <w:sz w:val="22"/>
                <w:szCs w:val="22"/>
                <w:u w:val="none"/>
                <w:lang w:val="en-US" w:eastAsia="zh-CN"/>
              </w:rPr>
            </w:pPr>
          </w:p>
          <w:p>
            <w:pPr>
              <w:widowControl/>
              <w:jc w:val="left"/>
              <w:textAlignment w:val="top"/>
              <w:rPr>
                <w:rFonts w:hint="default" w:ascii="仿宋_GB2312" w:hAnsi="宋体" w:eastAsia="仿宋_GB2312" w:cs="仿宋_GB2312"/>
                <w:i w:val="0"/>
                <w:color w:val="000000"/>
                <w:kern w:val="0"/>
                <w:sz w:val="22"/>
                <w:szCs w:val="22"/>
                <w:u w:val="none"/>
                <w:lang w:val="en-US" w:eastAsia="zh-CN"/>
              </w:rPr>
            </w:pPr>
          </w:p>
          <w:p>
            <w:pPr>
              <w:widowControl/>
              <w:jc w:val="left"/>
              <w:textAlignment w:val="top"/>
              <w:rPr>
                <w:rFonts w:hint="default" w:ascii="仿宋_GB2312" w:hAnsi="宋体" w:eastAsia="仿宋_GB2312" w:cs="仿宋_GB2312"/>
                <w:i w:val="0"/>
                <w:color w:val="000000"/>
                <w:kern w:val="0"/>
                <w:sz w:val="22"/>
                <w:szCs w:val="22"/>
                <w:u w:val="none"/>
                <w:lang w:val="en-US" w:eastAsia="zh-CN"/>
              </w:rPr>
            </w:pPr>
          </w:p>
          <w:p>
            <w:pPr>
              <w:widowControl/>
              <w:jc w:val="left"/>
              <w:textAlignment w:val="top"/>
              <w:rPr>
                <w:rFonts w:hint="default" w:ascii="仿宋_GB2312" w:hAnsi="宋体" w:eastAsia="仿宋_GB2312" w:cs="仿宋_GB2312"/>
                <w:i w:val="0"/>
                <w:color w:val="000000"/>
                <w:kern w:val="0"/>
                <w:sz w:val="22"/>
                <w:szCs w:val="22"/>
                <w:u w:val="none"/>
                <w:lang w:val="en-US" w:eastAsia="zh-CN"/>
              </w:rPr>
            </w:pPr>
          </w:p>
          <w:p>
            <w:pPr>
              <w:widowControl/>
              <w:jc w:val="left"/>
              <w:textAlignment w:val="top"/>
              <w:rPr>
                <w:rFonts w:hint="default" w:ascii="仿宋_GB2312" w:hAnsi="宋体" w:eastAsia="仿宋_GB2312" w:cs="仿宋_GB2312"/>
                <w:i w:val="0"/>
                <w:color w:val="000000"/>
                <w:kern w:val="0"/>
                <w:sz w:val="22"/>
                <w:szCs w:val="22"/>
                <w:u w:val="none"/>
                <w:lang w:val="en-US" w:eastAsia="zh-CN"/>
              </w:rPr>
            </w:pPr>
          </w:p>
          <w:p>
            <w:pPr>
              <w:widowControl/>
              <w:jc w:val="left"/>
              <w:textAlignment w:val="top"/>
              <w:rPr>
                <w:rFonts w:hint="default" w:ascii="仿宋_GB2312" w:hAnsi="宋体" w:eastAsia="仿宋_GB2312" w:cs="仿宋_GB2312"/>
                <w:i w:val="0"/>
                <w:color w:val="000000"/>
                <w:kern w:val="0"/>
                <w:sz w:val="22"/>
                <w:szCs w:val="22"/>
                <w:u w:val="none"/>
                <w:lang w:val="en-US" w:eastAsia="zh-CN"/>
              </w:rPr>
            </w:pPr>
          </w:p>
          <w:p>
            <w:pPr>
              <w:widowControl/>
              <w:jc w:val="left"/>
              <w:textAlignment w:val="top"/>
              <w:rPr>
                <w:rFonts w:hint="default" w:ascii="仿宋_GB2312" w:hAnsi="宋体" w:eastAsia="仿宋_GB2312" w:cs="仿宋_GB2312"/>
                <w:i w:val="0"/>
                <w:color w:val="000000"/>
                <w:kern w:val="0"/>
                <w:sz w:val="22"/>
                <w:szCs w:val="22"/>
                <w:u w:val="none"/>
                <w:lang w:val="en-US" w:eastAsia="zh-CN"/>
              </w:rPr>
            </w:pPr>
          </w:p>
          <w:p>
            <w:pPr>
              <w:widowControl/>
              <w:jc w:val="left"/>
              <w:textAlignment w:val="top"/>
              <w:rPr>
                <w:rFonts w:hint="default" w:ascii="仿宋_GB2312" w:hAnsi="宋体" w:eastAsia="仿宋_GB2312" w:cs="仿宋_GB2312"/>
                <w:i w:val="0"/>
                <w:color w:val="000000"/>
                <w:kern w:val="0"/>
                <w:sz w:val="22"/>
                <w:szCs w:val="22"/>
                <w:u w:val="none"/>
                <w:lang w:val="en-US" w:eastAsia="zh-CN"/>
              </w:rPr>
            </w:pPr>
          </w:p>
          <w:p>
            <w:pPr>
              <w:widowControl/>
              <w:jc w:val="left"/>
              <w:textAlignment w:val="top"/>
              <w:rPr>
                <w:rFonts w:hint="default" w:ascii="仿宋_GB2312" w:hAnsi="宋体" w:eastAsia="仿宋_GB2312" w:cs="仿宋_GB2312"/>
                <w:i w:val="0"/>
                <w:color w:val="000000"/>
                <w:kern w:val="0"/>
                <w:sz w:val="22"/>
                <w:szCs w:val="22"/>
                <w:u w:val="none"/>
                <w:lang w:val="en-US" w:eastAsia="zh-CN"/>
              </w:rPr>
            </w:pPr>
          </w:p>
          <w:p>
            <w:pPr>
              <w:widowControl/>
              <w:jc w:val="left"/>
              <w:textAlignment w:val="top"/>
              <w:rPr>
                <w:rFonts w:hint="default" w:ascii="仿宋_GB2312" w:hAnsi="宋体" w:eastAsia="仿宋_GB2312" w:cs="仿宋_GB2312"/>
                <w:i w:val="0"/>
                <w:color w:val="000000"/>
                <w:kern w:val="0"/>
                <w:sz w:val="22"/>
                <w:szCs w:val="22"/>
                <w:u w:val="none"/>
                <w:lang w:val="en-US" w:eastAsia="zh-CN"/>
              </w:rPr>
            </w:pPr>
          </w:p>
          <w:p>
            <w:pPr>
              <w:widowControl/>
              <w:jc w:val="left"/>
              <w:textAlignment w:val="top"/>
              <w:rPr>
                <w:rFonts w:hint="default" w:ascii="仿宋_GB2312" w:hAnsi="宋体" w:eastAsia="仿宋_GB2312" w:cs="仿宋_GB2312"/>
                <w:i w:val="0"/>
                <w:color w:val="000000"/>
                <w:kern w:val="0"/>
                <w:sz w:val="22"/>
                <w:szCs w:val="22"/>
                <w:u w:val="none"/>
                <w:lang w:val="en-US" w:eastAsia="zh-CN"/>
              </w:rPr>
            </w:pPr>
          </w:p>
          <w:p>
            <w:pPr>
              <w:widowControl/>
              <w:jc w:val="left"/>
              <w:textAlignment w:val="top"/>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登记事项检查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营业执照（登记证）规范使用情况的检查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企业、个体工商户、农民专业合作社、外国企业常驻代表机构</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一般检查事项</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现场检查</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宋体" w:eastAsia="仿宋_GB2312" w:cs="仿宋_GB2312"/>
                <w:i w:val="0"/>
                <w:color w:val="000000"/>
                <w:kern w:val="0"/>
                <w:sz w:val="22"/>
                <w:szCs w:val="22"/>
                <w:u w:val="none"/>
                <w:lang w:val="en-US" w:eastAsia="zh-CN"/>
              </w:rPr>
            </w:pPr>
            <w:r>
              <w:rPr>
                <w:rFonts w:hint="eastAsia" w:ascii="仿宋_GB2312" w:hAnsi="宋体" w:eastAsia="仿宋_GB2312" w:cs="仿宋_GB2312"/>
                <w:i w:val="0"/>
                <w:color w:val="000000"/>
                <w:kern w:val="0"/>
                <w:sz w:val="22"/>
                <w:szCs w:val="22"/>
                <w:u w:val="none"/>
                <w:lang w:val="en-US" w:eastAsia="zh-CN"/>
              </w:rPr>
              <w:t>《</w:t>
            </w:r>
            <w:r>
              <w:rPr>
                <w:rFonts w:hint="default" w:ascii="仿宋_GB2312" w:hAnsi="宋体" w:eastAsia="仿宋_GB2312" w:cs="仿宋_GB2312"/>
                <w:i w:val="0"/>
                <w:color w:val="000000"/>
                <w:kern w:val="0"/>
                <w:sz w:val="22"/>
                <w:szCs w:val="22"/>
                <w:u w:val="none"/>
                <w:lang w:val="en-US" w:eastAsia="zh-CN"/>
              </w:rPr>
              <w:t>市场主体登记管理条例</w:t>
            </w:r>
            <w:r>
              <w:rPr>
                <w:rFonts w:hint="eastAsia" w:ascii="仿宋_GB2312" w:hAnsi="宋体" w:eastAsia="仿宋_GB2312" w:cs="仿宋_GB2312"/>
                <w:i w:val="0"/>
                <w:color w:val="000000"/>
                <w:kern w:val="0"/>
                <w:sz w:val="22"/>
                <w:szCs w:val="22"/>
                <w:u w:val="none"/>
                <w:lang w:val="en-US" w:eastAsia="zh-CN"/>
              </w:rPr>
              <w:t>》第四十三条、第四十四条、第四十八条</w:t>
            </w:r>
          </w:p>
          <w:p>
            <w:pPr>
              <w:widowControl/>
              <w:jc w:val="left"/>
              <w:textAlignment w:val="center"/>
              <w:rPr>
                <w:rFonts w:hint="eastAsia" w:ascii="仿宋_GB2312" w:hAnsi="宋体" w:eastAsia="仿宋_GB2312" w:cs="仿宋_GB2312"/>
                <w:i w:val="0"/>
                <w:color w:val="000000"/>
                <w:kern w:val="0"/>
                <w:sz w:val="22"/>
                <w:szCs w:val="22"/>
                <w:u w:val="none"/>
                <w:lang w:val="en-US" w:eastAsia="zh-CN"/>
              </w:rPr>
            </w:pPr>
            <w:r>
              <w:rPr>
                <w:rFonts w:hint="eastAsia" w:ascii="仿宋_GB2312" w:hAnsi="宋体" w:eastAsia="仿宋_GB2312" w:cs="仿宋_GB2312"/>
                <w:i w:val="0"/>
                <w:color w:val="000000"/>
                <w:kern w:val="0"/>
                <w:sz w:val="22"/>
                <w:szCs w:val="22"/>
                <w:u w:val="none"/>
                <w:lang w:val="en-US" w:eastAsia="zh-CN"/>
              </w:rPr>
              <w:t>《</w:t>
            </w:r>
            <w:r>
              <w:rPr>
                <w:rFonts w:hint="default" w:ascii="仿宋_GB2312" w:hAnsi="宋体" w:eastAsia="仿宋_GB2312" w:cs="仿宋_GB2312"/>
                <w:i w:val="0"/>
                <w:color w:val="000000"/>
                <w:kern w:val="0"/>
                <w:sz w:val="22"/>
                <w:szCs w:val="22"/>
                <w:u w:val="none"/>
                <w:lang w:val="en-US" w:eastAsia="zh-CN"/>
              </w:rPr>
              <w:t>市场主体登记管理条例实施细则</w:t>
            </w:r>
            <w:r>
              <w:rPr>
                <w:rFonts w:hint="eastAsia" w:ascii="仿宋_GB2312" w:hAnsi="宋体" w:eastAsia="仿宋_GB2312" w:cs="仿宋_GB2312"/>
                <w:i w:val="0"/>
                <w:color w:val="000000"/>
                <w:kern w:val="0"/>
                <w:sz w:val="22"/>
                <w:szCs w:val="22"/>
                <w:u w:val="none"/>
                <w:lang w:val="en-US" w:eastAsia="zh-CN"/>
              </w:rPr>
              <w:t>》第十一章</w:t>
            </w:r>
          </w:p>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《个人独资企业法》第三十五条</w:t>
            </w:r>
          </w:p>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《个体工商户条例》第二十二条</w:t>
            </w:r>
          </w:p>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《外国企业常驻代表机构登记管理条例》第十八条、第十九条、第三十六条第三款、第三十八条</w:t>
            </w:r>
          </w:p>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《电子商务法》第十五条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7"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名称规范使用情况的检查</w:t>
            </w:r>
          </w:p>
        </w:tc>
        <w:tc>
          <w:tcPr>
            <w:tcW w:w="11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企业、个体工商户、农民专业合作社、外国企业常驻代表机构</w:t>
            </w:r>
          </w:p>
        </w:tc>
        <w:tc>
          <w:tcPr>
            <w:tcW w:w="15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一般检查事项</w:t>
            </w:r>
          </w:p>
        </w:tc>
        <w:tc>
          <w:tcPr>
            <w:tcW w:w="12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现场检查</w:t>
            </w:r>
          </w:p>
        </w:tc>
        <w:tc>
          <w:tcPr>
            <w:tcW w:w="14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《企业名称登记管理规定》第二十</w:t>
            </w:r>
            <w:r>
              <w:rPr>
                <w:rFonts w:hint="eastAsia" w:ascii="仿宋_GB2312" w:hAnsi="宋体" w:eastAsia="仿宋_GB2312" w:cs="仿宋_GB2312"/>
                <w:i w:val="0"/>
                <w:color w:val="000000"/>
                <w:kern w:val="0"/>
                <w:sz w:val="22"/>
                <w:szCs w:val="22"/>
                <w:u w:val="none"/>
                <w:lang w:val="en-US" w:eastAsia="zh-CN"/>
              </w:rPr>
              <w:t>二条、</w:t>
            </w:r>
            <w:r>
              <w:rPr>
                <w:rFonts w:hint="default" w:ascii="仿宋_GB2312" w:hAnsi="宋体" w:eastAsia="仿宋_GB2312" w:cs="仿宋_GB2312"/>
                <w:i w:val="0"/>
                <w:color w:val="000000"/>
                <w:kern w:val="0"/>
                <w:sz w:val="22"/>
                <w:szCs w:val="22"/>
                <w:u w:val="none"/>
                <w:lang w:val="en-US" w:eastAsia="zh-CN"/>
              </w:rPr>
              <w:t>第二十</w:t>
            </w:r>
            <w:r>
              <w:rPr>
                <w:rFonts w:hint="eastAsia" w:ascii="仿宋_GB2312" w:hAnsi="宋体" w:eastAsia="仿宋_GB2312" w:cs="仿宋_GB2312"/>
                <w:i w:val="0"/>
                <w:color w:val="000000"/>
                <w:kern w:val="0"/>
                <w:sz w:val="22"/>
                <w:szCs w:val="22"/>
                <w:u w:val="none"/>
                <w:lang w:val="en-US" w:eastAsia="zh-CN"/>
              </w:rPr>
              <w:t>三条、第</w:t>
            </w:r>
            <w:r>
              <w:rPr>
                <w:rFonts w:hint="default" w:ascii="仿宋_GB2312" w:hAnsi="宋体" w:eastAsia="仿宋_GB2312" w:cs="仿宋_GB2312"/>
                <w:i w:val="0"/>
                <w:color w:val="000000"/>
                <w:kern w:val="0"/>
                <w:sz w:val="22"/>
                <w:szCs w:val="22"/>
                <w:u w:val="none"/>
                <w:lang w:val="en-US" w:eastAsia="zh-CN"/>
              </w:rPr>
              <w:t>二十</w:t>
            </w:r>
            <w:r>
              <w:rPr>
                <w:rFonts w:hint="eastAsia" w:ascii="仿宋_GB2312" w:hAnsi="宋体" w:eastAsia="仿宋_GB2312" w:cs="仿宋_GB2312"/>
                <w:i w:val="0"/>
                <w:color w:val="000000"/>
                <w:kern w:val="0"/>
                <w:sz w:val="22"/>
                <w:szCs w:val="22"/>
                <w:u w:val="none"/>
                <w:lang w:val="en-US" w:eastAsia="zh-CN"/>
              </w:rPr>
              <w:t>四</w:t>
            </w:r>
            <w:r>
              <w:rPr>
                <w:rFonts w:hint="default" w:ascii="仿宋_GB2312" w:hAnsi="宋体" w:eastAsia="仿宋_GB2312" w:cs="仿宋_GB2312"/>
                <w:i w:val="0"/>
                <w:color w:val="000000"/>
                <w:kern w:val="0"/>
                <w:sz w:val="22"/>
                <w:szCs w:val="22"/>
                <w:u w:val="none"/>
                <w:lang w:val="en-US" w:eastAsia="zh-CN"/>
              </w:rPr>
              <w:t>条</w:t>
            </w:r>
            <w:r>
              <w:rPr>
                <w:rFonts w:hint="eastAsia" w:ascii="仿宋_GB2312" w:hAnsi="宋体" w:eastAsia="仿宋_GB2312" w:cs="仿宋_GB2312"/>
                <w:i w:val="0"/>
                <w:color w:val="000000"/>
                <w:kern w:val="0"/>
                <w:sz w:val="22"/>
                <w:szCs w:val="22"/>
                <w:u w:val="none"/>
                <w:lang w:val="en-US" w:eastAsia="zh-CN"/>
              </w:rPr>
              <w:t>、第</w:t>
            </w:r>
            <w:r>
              <w:rPr>
                <w:rFonts w:hint="default" w:ascii="仿宋_GB2312" w:hAnsi="宋体" w:eastAsia="仿宋_GB2312" w:cs="仿宋_GB2312"/>
                <w:i w:val="0"/>
                <w:color w:val="000000"/>
                <w:kern w:val="0"/>
                <w:sz w:val="22"/>
                <w:szCs w:val="22"/>
                <w:u w:val="none"/>
                <w:lang w:val="en-US" w:eastAsia="zh-CN"/>
              </w:rPr>
              <w:t>二十</w:t>
            </w:r>
            <w:r>
              <w:rPr>
                <w:rFonts w:hint="eastAsia" w:ascii="仿宋_GB2312" w:hAnsi="宋体" w:eastAsia="仿宋_GB2312" w:cs="仿宋_GB2312"/>
                <w:i w:val="0"/>
                <w:color w:val="000000"/>
                <w:kern w:val="0"/>
                <w:sz w:val="22"/>
                <w:szCs w:val="22"/>
                <w:u w:val="none"/>
                <w:lang w:val="en-US" w:eastAsia="zh-CN"/>
              </w:rPr>
              <w:t>五</w:t>
            </w:r>
            <w:r>
              <w:rPr>
                <w:rFonts w:hint="default" w:ascii="仿宋_GB2312" w:hAnsi="宋体" w:eastAsia="仿宋_GB2312" w:cs="仿宋_GB2312"/>
                <w:i w:val="0"/>
                <w:color w:val="000000"/>
                <w:kern w:val="0"/>
                <w:sz w:val="22"/>
                <w:szCs w:val="22"/>
                <w:u w:val="none"/>
                <w:lang w:val="en-US" w:eastAsia="zh-CN"/>
              </w:rPr>
              <w:t xml:space="preserve">条 </w:t>
            </w:r>
          </w:p>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 xml:space="preserve">《个人独资企业法》第三十四条 </w:t>
            </w:r>
          </w:p>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 xml:space="preserve">《合伙企业法》第九十四条 </w:t>
            </w:r>
          </w:p>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《个体工商户条例》第二十三条</w:t>
            </w:r>
          </w:p>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 xml:space="preserve">《外国企业常驻代表机构登记管理条例》第三十八条 </w:t>
            </w:r>
          </w:p>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eastAsia" w:ascii="仿宋_GB2312" w:hAnsi="宋体" w:eastAsia="仿宋_GB2312" w:cs="仿宋_GB2312"/>
                <w:i w:val="0"/>
                <w:color w:val="000000"/>
                <w:kern w:val="0"/>
                <w:sz w:val="22"/>
                <w:szCs w:val="22"/>
                <w:u w:val="none"/>
                <w:lang w:val="en-US" w:eastAsia="zh-CN"/>
              </w:rPr>
              <w:t>《</w:t>
            </w:r>
            <w:r>
              <w:rPr>
                <w:rFonts w:hint="default" w:ascii="仿宋_GB2312" w:hAnsi="宋体" w:eastAsia="仿宋_GB2312" w:cs="仿宋_GB2312"/>
                <w:i w:val="0"/>
                <w:color w:val="000000"/>
                <w:kern w:val="0"/>
                <w:sz w:val="22"/>
                <w:szCs w:val="22"/>
                <w:u w:val="none"/>
                <w:lang w:val="en-US" w:eastAsia="zh-CN"/>
              </w:rPr>
              <w:t>市场主体登记管理条例实施细则</w:t>
            </w:r>
            <w:r>
              <w:rPr>
                <w:rFonts w:hint="eastAsia" w:ascii="仿宋_GB2312" w:hAnsi="宋体" w:eastAsia="仿宋_GB2312" w:cs="仿宋_GB2312"/>
                <w:i w:val="0"/>
                <w:color w:val="000000"/>
                <w:kern w:val="0"/>
                <w:sz w:val="22"/>
                <w:szCs w:val="22"/>
                <w:u w:val="none"/>
                <w:lang w:val="en-US" w:eastAsia="zh-CN"/>
              </w:rPr>
              <w:t>》第七十二条</w:t>
            </w:r>
          </w:p>
          <w:p>
            <w:pPr>
              <w:widowControl/>
              <w:jc w:val="left"/>
              <w:textAlignment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7"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7"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7"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7"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7"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4"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经营（驻在）期限的检查</w:t>
            </w:r>
          </w:p>
        </w:tc>
        <w:tc>
          <w:tcPr>
            <w:tcW w:w="11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企业、个体工商户、农民专业合作社、外国企业常驻代表机构</w:t>
            </w:r>
          </w:p>
        </w:tc>
        <w:tc>
          <w:tcPr>
            <w:tcW w:w="15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一般检查事项</w:t>
            </w:r>
          </w:p>
        </w:tc>
        <w:tc>
          <w:tcPr>
            <w:tcW w:w="12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现场检查</w:t>
            </w:r>
          </w:p>
        </w:tc>
        <w:tc>
          <w:tcPr>
            <w:tcW w:w="14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《市场主体登记管理条例》第四十三条</w:t>
            </w:r>
            <w:r>
              <w:rPr>
                <w:rFonts w:hint="eastAsia" w:ascii="仿宋_GB2312" w:hAnsi="宋体" w:eastAsia="仿宋_GB2312" w:cs="仿宋_GB2312"/>
                <w:i w:val="0"/>
                <w:color w:val="000000"/>
                <w:kern w:val="0"/>
                <w:sz w:val="22"/>
                <w:szCs w:val="22"/>
                <w:u w:val="none"/>
                <w:lang w:val="en-US" w:eastAsia="zh-CN"/>
              </w:rPr>
              <w:t>、</w:t>
            </w:r>
            <w:r>
              <w:rPr>
                <w:rFonts w:hint="default" w:ascii="仿宋_GB2312" w:hAnsi="宋体" w:eastAsia="仿宋_GB2312" w:cs="仿宋_GB2312"/>
                <w:i w:val="0"/>
                <w:color w:val="000000"/>
                <w:kern w:val="0"/>
                <w:sz w:val="22"/>
                <w:szCs w:val="22"/>
                <w:u w:val="none"/>
                <w:lang w:val="en-US" w:eastAsia="zh-CN"/>
              </w:rPr>
              <w:t>第四十四条</w:t>
            </w:r>
            <w:r>
              <w:rPr>
                <w:rFonts w:hint="eastAsia" w:ascii="仿宋_GB2312" w:hAnsi="宋体" w:eastAsia="仿宋_GB2312" w:cs="仿宋_GB2312"/>
                <w:i w:val="0"/>
                <w:color w:val="000000"/>
                <w:kern w:val="0"/>
                <w:sz w:val="22"/>
                <w:szCs w:val="22"/>
                <w:u w:val="none"/>
                <w:lang w:val="en-US" w:eastAsia="zh-CN"/>
              </w:rPr>
              <w:t>、第四十六条</w:t>
            </w:r>
          </w:p>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《市场主体登记管理条例实施细则》第</w:t>
            </w:r>
            <w:r>
              <w:rPr>
                <w:rFonts w:hint="eastAsia" w:ascii="仿宋_GB2312" w:hAnsi="宋体" w:eastAsia="仿宋_GB2312" w:cs="仿宋_GB2312"/>
                <w:i w:val="0"/>
                <w:color w:val="000000"/>
                <w:kern w:val="0"/>
                <w:sz w:val="22"/>
                <w:szCs w:val="22"/>
                <w:u w:val="none"/>
                <w:lang w:val="en-US" w:eastAsia="zh-CN"/>
              </w:rPr>
              <w:t>七十二条</w:t>
            </w:r>
          </w:p>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 xml:space="preserve">《公司法》第二百一十一条第二款 </w:t>
            </w:r>
          </w:p>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 xml:space="preserve">《合伙企业法》第九十五条第二款 </w:t>
            </w:r>
          </w:p>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《外国企业常驻代表机构登记管理条例》第十六条、第三十五条第二款、第三十八条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4"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4"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4"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4"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4"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经营（业务）范围中无需审批的经营（业务）项目的检查</w:t>
            </w:r>
          </w:p>
        </w:tc>
        <w:tc>
          <w:tcPr>
            <w:tcW w:w="11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企业、个体工商户、农民专业合作社、外国企业常驻代表机构</w:t>
            </w:r>
          </w:p>
        </w:tc>
        <w:tc>
          <w:tcPr>
            <w:tcW w:w="15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一般检查事项</w:t>
            </w:r>
          </w:p>
        </w:tc>
        <w:tc>
          <w:tcPr>
            <w:tcW w:w="12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现场检查</w:t>
            </w:r>
          </w:p>
        </w:tc>
        <w:tc>
          <w:tcPr>
            <w:tcW w:w="14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《市场主体登记管理条例》第四十三条、第四十四条</w:t>
            </w:r>
            <w:r>
              <w:rPr>
                <w:rFonts w:hint="eastAsia" w:ascii="仿宋_GB2312" w:hAnsi="宋体" w:eastAsia="仿宋_GB2312" w:cs="仿宋_GB2312"/>
                <w:i w:val="0"/>
                <w:color w:val="000000"/>
                <w:kern w:val="0"/>
                <w:sz w:val="22"/>
                <w:szCs w:val="22"/>
                <w:u w:val="none"/>
                <w:lang w:val="en-US" w:eastAsia="zh-CN"/>
              </w:rPr>
              <w:t>、</w:t>
            </w:r>
            <w:r>
              <w:rPr>
                <w:rFonts w:hint="default" w:ascii="仿宋_GB2312" w:hAnsi="宋体" w:eastAsia="仿宋_GB2312" w:cs="仿宋_GB2312"/>
                <w:i w:val="0"/>
                <w:color w:val="000000"/>
                <w:kern w:val="0"/>
                <w:sz w:val="22"/>
                <w:szCs w:val="22"/>
                <w:u w:val="none"/>
                <w:lang w:val="en-US" w:eastAsia="zh-CN"/>
              </w:rPr>
              <w:t>第四</w:t>
            </w:r>
            <w:r>
              <w:rPr>
                <w:rFonts w:hint="eastAsia" w:ascii="仿宋_GB2312" w:hAnsi="宋体" w:eastAsia="仿宋_GB2312" w:cs="仿宋_GB2312"/>
                <w:i w:val="0"/>
                <w:color w:val="000000"/>
                <w:kern w:val="0"/>
                <w:sz w:val="22"/>
                <w:szCs w:val="22"/>
                <w:u w:val="none"/>
                <w:lang w:val="en-US" w:eastAsia="zh-CN"/>
              </w:rPr>
              <w:t>十六</w:t>
            </w:r>
            <w:r>
              <w:rPr>
                <w:rFonts w:hint="default" w:ascii="仿宋_GB2312" w:hAnsi="宋体" w:eastAsia="仿宋_GB2312" w:cs="仿宋_GB2312"/>
                <w:i w:val="0"/>
                <w:color w:val="000000"/>
                <w:kern w:val="0"/>
                <w:sz w:val="22"/>
                <w:szCs w:val="22"/>
                <w:u w:val="none"/>
                <w:lang w:val="en-US" w:eastAsia="zh-CN"/>
              </w:rPr>
              <w:t>条</w:t>
            </w:r>
            <w:r>
              <w:rPr>
                <w:rFonts w:hint="eastAsia" w:ascii="仿宋_GB2312" w:hAnsi="宋体" w:eastAsia="仿宋_GB2312" w:cs="仿宋_GB2312"/>
                <w:i w:val="0"/>
                <w:color w:val="000000"/>
                <w:kern w:val="0"/>
                <w:sz w:val="22"/>
                <w:szCs w:val="22"/>
                <w:u w:val="none"/>
                <w:lang w:val="en-US" w:eastAsia="zh-CN"/>
              </w:rPr>
              <w:t>、</w:t>
            </w:r>
            <w:r>
              <w:rPr>
                <w:rFonts w:hint="default" w:ascii="仿宋_GB2312" w:hAnsi="宋体" w:eastAsia="仿宋_GB2312" w:cs="仿宋_GB2312"/>
                <w:i w:val="0"/>
                <w:color w:val="000000"/>
                <w:kern w:val="0"/>
                <w:sz w:val="22"/>
                <w:szCs w:val="22"/>
                <w:u w:val="none"/>
                <w:lang w:val="en-US" w:eastAsia="zh-CN"/>
              </w:rPr>
              <w:t>第四</w:t>
            </w:r>
            <w:r>
              <w:rPr>
                <w:rFonts w:hint="eastAsia" w:ascii="仿宋_GB2312" w:hAnsi="宋体" w:eastAsia="仿宋_GB2312" w:cs="仿宋_GB2312"/>
                <w:i w:val="0"/>
                <w:color w:val="000000"/>
                <w:kern w:val="0"/>
                <w:sz w:val="22"/>
                <w:szCs w:val="22"/>
                <w:u w:val="none"/>
                <w:lang w:val="en-US" w:eastAsia="zh-CN"/>
              </w:rPr>
              <w:t>十七</w:t>
            </w:r>
            <w:r>
              <w:rPr>
                <w:rFonts w:hint="default" w:ascii="仿宋_GB2312" w:hAnsi="宋体" w:eastAsia="仿宋_GB2312" w:cs="仿宋_GB2312"/>
                <w:i w:val="0"/>
                <w:color w:val="000000"/>
                <w:kern w:val="0"/>
                <w:sz w:val="22"/>
                <w:szCs w:val="22"/>
                <w:u w:val="none"/>
                <w:lang w:val="en-US" w:eastAsia="zh-CN"/>
              </w:rPr>
              <w:t>条</w:t>
            </w:r>
          </w:p>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《公司法》第二百一十一条第二款</w:t>
            </w:r>
          </w:p>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《市场主体登记管理条例实施细则》第六十</w:t>
            </w:r>
            <w:r>
              <w:rPr>
                <w:rFonts w:hint="eastAsia" w:ascii="仿宋_GB2312" w:hAnsi="宋体" w:eastAsia="仿宋_GB2312" w:cs="仿宋_GB2312"/>
                <w:i w:val="0"/>
                <w:color w:val="000000"/>
                <w:kern w:val="0"/>
                <w:sz w:val="22"/>
                <w:szCs w:val="22"/>
                <w:u w:val="none"/>
                <w:lang w:val="en-US" w:eastAsia="zh-CN"/>
              </w:rPr>
              <w:t>八</w:t>
            </w:r>
            <w:r>
              <w:rPr>
                <w:rFonts w:hint="default" w:ascii="仿宋_GB2312" w:hAnsi="宋体" w:eastAsia="仿宋_GB2312" w:cs="仿宋_GB2312"/>
                <w:i w:val="0"/>
                <w:color w:val="000000"/>
                <w:kern w:val="0"/>
                <w:sz w:val="22"/>
                <w:szCs w:val="22"/>
                <w:u w:val="none"/>
                <w:lang w:val="en-US" w:eastAsia="zh-CN"/>
              </w:rPr>
              <w:t>条</w:t>
            </w:r>
            <w:r>
              <w:rPr>
                <w:rFonts w:hint="eastAsia" w:ascii="仿宋_GB2312" w:hAnsi="宋体" w:eastAsia="仿宋_GB2312" w:cs="仿宋_GB2312"/>
                <w:i w:val="0"/>
                <w:color w:val="000000"/>
                <w:kern w:val="0"/>
                <w:sz w:val="22"/>
                <w:szCs w:val="22"/>
                <w:u w:val="none"/>
                <w:lang w:val="en-US" w:eastAsia="zh-CN"/>
              </w:rPr>
              <w:t>、</w:t>
            </w:r>
            <w:r>
              <w:rPr>
                <w:rFonts w:hint="default" w:ascii="仿宋_GB2312" w:hAnsi="宋体" w:eastAsia="仿宋_GB2312" w:cs="仿宋_GB2312"/>
                <w:i w:val="0"/>
                <w:color w:val="000000"/>
                <w:kern w:val="0"/>
                <w:sz w:val="22"/>
                <w:szCs w:val="22"/>
                <w:u w:val="none"/>
                <w:lang w:val="en-US" w:eastAsia="zh-CN"/>
              </w:rPr>
              <w:t>第六十九条</w:t>
            </w:r>
            <w:r>
              <w:rPr>
                <w:rFonts w:hint="eastAsia" w:ascii="仿宋_GB2312" w:hAnsi="宋体" w:eastAsia="仿宋_GB2312" w:cs="仿宋_GB2312"/>
                <w:i w:val="0"/>
                <w:color w:val="000000"/>
                <w:kern w:val="0"/>
                <w:sz w:val="22"/>
                <w:szCs w:val="22"/>
                <w:u w:val="none"/>
                <w:lang w:val="en-US" w:eastAsia="zh-CN"/>
              </w:rPr>
              <w:t>、第七十二条、第七十三条</w:t>
            </w:r>
          </w:p>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《合伙企业法》第九十五条第二款</w:t>
            </w:r>
          </w:p>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《个人独资企业法》第三十七条第二款</w:t>
            </w:r>
          </w:p>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《个体工商户条例》第二十三条第一款</w:t>
            </w:r>
          </w:p>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《外国企业常驻代表机构登记管理条例》第三十五条第二款、第三十七条、第三十八条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7"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住所（经营场所）或驻在场所的检查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企业、个体工商户、农民专业合作社、外国企业常驻代表机构</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一般检查事项</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现场检查</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6"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注册资本实缴情况的检查</w:t>
            </w:r>
          </w:p>
        </w:tc>
        <w:tc>
          <w:tcPr>
            <w:tcW w:w="11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highlight w:val="none"/>
                <w:u w:val="none"/>
                <w:lang w:val="en-US" w:eastAsia="zh-CN"/>
              </w:rPr>
              <w:t>暂不实行注册资本认缴登记制的企业</w:t>
            </w:r>
          </w:p>
        </w:tc>
        <w:tc>
          <w:tcPr>
            <w:tcW w:w="15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一般检查事项</w:t>
            </w:r>
          </w:p>
        </w:tc>
        <w:tc>
          <w:tcPr>
            <w:tcW w:w="12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现场检查</w:t>
            </w:r>
          </w:p>
        </w:tc>
        <w:tc>
          <w:tcPr>
            <w:tcW w:w="14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《市场主体登记管理条例》第四十三条、第四十四条</w:t>
            </w:r>
            <w:r>
              <w:rPr>
                <w:rFonts w:hint="eastAsia" w:ascii="仿宋_GB2312" w:hAnsi="宋体" w:eastAsia="仿宋_GB2312" w:cs="仿宋_GB2312"/>
                <w:i w:val="0"/>
                <w:color w:val="000000"/>
                <w:kern w:val="0"/>
                <w:sz w:val="22"/>
                <w:szCs w:val="22"/>
                <w:u w:val="none"/>
                <w:lang w:val="en-US" w:eastAsia="zh-CN"/>
              </w:rPr>
              <w:t>、</w:t>
            </w:r>
            <w:r>
              <w:rPr>
                <w:rFonts w:hint="default" w:ascii="仿宋_GB2312" w:hAnsi="宋体" w:eastAsia="仿宋_GB2312" w:cs="仿宋_GB2312"/>
                <w:i w:val="0"/>
                <w:color w:val="000000"/>
                <w:kern w:val="0"/>
                <w:sz w:val="22"/>
                <w:szCs w:val="22"/>
                <w:u w:val="none"/>
                <w:lang w:val="en-US" w:eastAsia="zh-CN"/>
              </w:rPr>
              <w:t>第四十</w:t>
            </w:r>
            <w:r>
              <w:rPr>
                <w:rFonts w:hint="eastAsia" w:ascii="仿宋_GB2312" w:hAnsi="宋体" w:eastAsia="仿宋_GB2312" w:cs="仿宋_GB2312"/>
                <w:i w:val="0"/>
                <w:color w:val="000000"/>
                <w:kern w:val="0"/>
                <w:sz w:val="22"/>
                <w:szCs w:val="22"/>
                <w:u w:val="none"/>
                <w:lang w:val="en-US" w:eastAsia="zh-CN"/>
              </w:rPr>
              <w:t>五</w:t>
            </w:r>
            <w:r>
              <w:rPr>
                <w:rFonts w:hint="default" w:ascii="仿宋_GB2312" w:hAnsi="宋体" w:eastAsia="仿宋_GB2312" w:cs="仿宋_GB2312"/>
                <w:i w:val="0"/>
                <w:color w:val="000000"/>
                <w:kern w:val="0"/>
                <w:sz w:val="22"/>
                <w:szCs w:val="22"/>
                <w:u w:val="none"/>
                <w:lang w:val="en-US" w:eastAsia="zh-CN"/>
              </w:rPr>
              <w:t>条</w:t>
            </w:r>
          </w:p>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《市场主体登记管理条例实施细则》第</w:t>
            </w:r>
            <w:r>
              <w:rPr>
                <w:rFonts w:hint="eastAsia" w:ascii="仿宋_GB2312" w:hAnsi="宋体" w:eastAsia="仿宋_GB2312" w:cs="仿宋_GB2312"/>
                <w:i w:val="0"/>
                <w:color w:val="000000"/>
                <w:kern w:val="0"/>
                <w:sz w:val="22"/>
                <w:szCs w:val="22"/>
                <w:u w:val="none"/>
                <w:lang w:val="en-US" w:eastAsia="zh-CN"/>
              </w:rPr>
              <w:t>七</w:t>
            </w:r>
            <w:r>
              <w:rPr>
                <w:rFonts w:hint="default" w:ascii="仿宋_GB2312" w:hAnsi="宋体" w:eastAsia="仿宋_GB2312" w:cs="仿宋_GB2312"/>
                <w:i w:val="0"/>
                <w:color w:val="000000"/>
                <w:kern w:val="0"/>
                <w:sz w:val="22"/>
                <w:szCs w:val="22"/>
                <w:u w:val="none"/>
                <w:lang w:val="en-US" w:eastAsia="zh-CN"/>
              </w:rPr>
              <w:t>条</w:t>
            </w:r>
            <w:r>
              <w:rPr>
                <w:rFonts w:hint="eastAsia" w:ascii="仿宋_GB2312" w:hAnsi="宋体" w:eastAsia="仿宋_GB2312" w:cs="仿宋_GB2312"/>
                <w:i w:val="0"/>
                <w:color w:val="000000"/>
                <w:kern w:val="0"/>
                <w:sz w:val="22"/>
                <w:szCs w:val="22"/>
                <w:u w:val="none"/>
                <w:lang w:val="en-US" w:eastAsia="zh-CN"/>
              </w:rPr>
              <w:t>、</w:t>
            </w:r>
            <w:r>
              <w:rPr>
                <w:rFonts w:hint="default" w:ascii="仿宋_GB2312" w:hAnsi="宋体" w:eastAsia="仿宋_GB2312" w:cs="仿宋_GB2312"/>
                <w:i w:val="0"/>
                <w:color w:val="000000"/>
                <w:kern w:val="0"/>
                <w:sz w:val="22"/>
                <w:szCs w:val="22"/>
                <w:u w:val="none"/>
                <w:lang w:val="en-US" w:eastAsia="zh-CN"/>
              </w:rPr>
              <w:t>第</w:t>
            </w:r>
            <w:r>
              <w:rPr>
                <w:rFonts w:hint="eastAsia" w:ascii="仿宋_GB2312" w:hAnsi="宋体" w:eastAsia="仿宋_GB2312" w:cs="仿宋_GB2312"/>
                <w:i w:val="0"/>
                <w:color w:val="000000"/>
                <w:kern w:val="0"/>
                <w:sz w:val="22"/>
                <w:szCs w:val="22"/>
                <w:u w:val="none"/>
                <w:lang w:val="en-US" w:eastAsia="zh-CN"/>
              </w:rPr>
              <w:t>三十六</w:t>
            </w:r>
            <w:r>
              <w:rPr>
                <w:rFonts w:hint="default" w:ascii="仿宋_GB2312" w:hAnsi="宋体" w:eastAsia="仿宋_GB2312" w:cs="仿宋_GB2312"/>
                <w:i w:val="0"/>
                <w:color w:val="000000"/>
                <w:kern w:val="0"/>
                <w:sz w:val="22"/>
                <w:szCs w:val="22"/>
                <w:u w:val="none"/>
                <w:lang w:val="en-US" w:eastAsia="zh-CN"/>
              </w:rPr>
              <w:t>条</w:t>
            </w:r>
            <w:r>
              <w:rPr>
                <w:rFonts w:hint="eastAsia" w:ascii="仿宋_GB2312" w:hAnsi="宋体" w:eastAsia="仿宋_GB2312" w:cs="仿宋_GB2312"/>
                <w:i w:val="0"/>
                <w:color w:val="000000"/>
                <w:kern w:val="0"/>
                <w:sz w:val="22"/>
                <w:szCs w:val="22"/>
                <w:u w:val="none"/>
                <w:lang w:val="en-US" w:eastAsia="zh-CN"/>
              </w:rPr>
              <w:t>、第七十二条</w:t>
            </w:r>
          </w:p>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 xml:space="preserve">《公司法》第一百九十八条至第二百条、第二百一十一条第二款 </w:t>
            </w:r>
          </w:p>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 xml:space="preserve">《合伙企业法》第九十五条第二款 </w:t>
            </w:r>
          </w:p>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 xml:space="preserve">《个人独资企业法》第三十七条第二款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6"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6"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6"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6"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6"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6"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5"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法定代表人（负责人）任职情况的检查</w:t>
            </w:r>
          </w:p>
        </w:tc>
        <w:tc>
          <w:tcPr>
            <w:tcW w:w="11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企业</w:t>
            </w:r>
          </w:p>
        </w:tc>
        <w:tc>
          <w:tcPr>
            <w:tcW w:w="15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一般检查事项</w:t>
            </w:r>
          </w:p>
        </w:tc>
        <w:tc>
          <w:tcPr>
            <w:tcW w:w="12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现场检查</w:t>
            </w:r>
          </w:p>
        </w:tc>
        <w:tc>
          <w:tcPr>
            <w:tcW w:w="14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《市场主体登记管理条例》第四十三条、第四十四条</w:t>
            </w:r>
          </w:p>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《市场主体登记管理条例实施细则》第七十二条</w:t>
            </w:r>
          </w:p>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 xml:space="preserve">《公司法》第二百一十一条第二款 </w:t>
            </w:r>
          </w:p>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 xml:space="preserve">《合伙企业法》第九十五条第二款 </w:t>
            </w:r>
          </w:p>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 xml:space="preserve">《个人独资企业法》第三十七条第二款 </w:t>
            </w:r>
          </w:p>
          <w:p>
            <w:pPr>
              <w:widowControl/>
              <w:jc w:val="left"/>
              <w:textAlignment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5"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5"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5"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5"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5"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5"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5"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7"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法定代表人、自然人股东身份真实性的检查</w:t>
            </w:r>
          </w:p>
        </w:tc>
        <w:tc>
          <w:tcPr>
            <w:tcW w:w="11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企业</w:t>
            </w:r>
          </w:p>
        </w:tc>
        <w:tc>
          <w:tcPr>
            <w:tcW w:w="15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一般检查事项</w:t>
            </w:r>
          </w:p>
        </w:tc>
        <w:tc>
          <w:tcPr>
            <w:tcW w:w="12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现场检查</w:t>
            </w:r>
          </w:p>
        </w:tc>
        <w:tc>
          <w:tcPr>
            <w:tcW w:w="14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 xml:space="preserve">《公司法》第一百九十八条 </w:t>
            </w:r>
          </w:p>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 xml:space="preserve">《合伙企业法》第九十三条 </w:t>
            </w:r>
          </w:p>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《个人独资企业法》第三十三条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7"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1"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 w:hRule="atLeast"/>
        </w:trPr>
        <w:tc>
          <w:tcPr>
            <w:tcW w:w="48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2</w:t>
            </w:r>
          </w:p>
        </w:tc>
        <w:tc>
          <w:tcPr>
            <w:tcW w:w="10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公示信息检查</w:t>
            </w: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年度报告公示信息的检查</w:t>
            </w:r>
          </w:p>
        </w:tc>
        <w:tc>
          <w:tcPr>
            <w:tcW w:w="11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企业、个体工商户、农民专业合作社</w:t>
            </w:r>
          </w:p>
        </w:tc>
        <w:tc>
          <w:tcPr>
            <w:tcW w:w="15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一般检查事项</w:t>
            </w:r>
          </w:p>
        </w:tc>
        <w:tc>
          <w:tcPr>
            <w:tcW w:w="12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现场检查、书面检查、网络检查、专业机构核查</w:t>
            </w:r>
          </w:p>
        </w:tc>
        <w:tc>
          <w:tcPr>
            <w:tcW w:w="14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 xml:space="preserve">《企业信息公示暂行条例》第三条、第八条、第九条、第十一条、第十二条、第十五条、第十七条 </w:t>
            </w:r>
          </w:p>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 xml:space="preserve">《企业公示信息抽查暂行办法》第十条、第十二条 </w:t>
            </w:r>
          </w:p>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 xml:space="preserve">《企业经营异常名录管理暂行办法》第四条、第六条、第八条、第九条 </w:t>
            </w:r>
          </w:p>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 xml:space="preserve">《个体工商户年度报告暂行办法》第六条、第十一条 </w:t>
            </w:r>
          </w:p>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 xml:space="preserve">《农民专业合作社年度报告公示暂行办法》第五条、第八条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即时公示信息的检查</w:t>
            </w:r>
          </w:p>
        </w:tc>
        <w:tc>
          <w:tcPr>
            <w:tcW w:w="11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企业</w:t>
            </w:r>
          </w:p>
        </w:tc>
        <w:tc>
          <w:tcPr>
            <w:tcW w:w="15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一般检查事项</w:t>
            </w:r>
          </w:p>
        </w:tc>
        <w:tc>
          <w:tcPr>
            <w:tcW w:w="12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现场检查、书面检查、网络检查、专业机构核查</w:t>
            </w:r>
          </w:p>
        </w:tc>
        <w:tc>
          <w:tcPr>
            <w:tcW w:w="14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 xml:space="preserve">《企业信息公示暂行条例》第三条、第十条、第十一条、第十二条、第十五条、第十七条 </w:t>
            </w:r>
          </w:p>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 xml:space="preserve">《企业公示信息抽查暂行办法》第十条、第十二条 </w:t>
            </w:r>
          </w:p>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《企业经营异常名录管理暂行办法》第四条、第七条、第八条、第九条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3"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7"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11" w:hRule="atLeast"/>
        </w:trPr>
        <w:tc>
          <w:tcPr>
            <w:tcW w:w="4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3</w:t>
            </w:r>
          </w:p>
        </w:tc>
        <w:tc>
          <w:tcPr>
            <w:tcW w:w="10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价格行为检查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执行政府定价、政府指导价情况，明码标价情况及其他价格行为的检查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《价格法》规定的经营者</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一般检查事项</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现场检查等</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《价格法》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4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4</w:t>
            </w:r>
          </w:p>
        </w:tc>
        <w:tc>
          <w:tcPr>
            <w:tcW w:w="10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直销行为检查</w:t>
            </w:r>
          </w:p>
        </w:tc>
        <w:tc>
          <w:tcPr>
            <w:tcW w:w="9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宋体" w:eastAsia="仿宋_GB2312" w:cs="仿宋_GB2312"/>
                <w:i w:val="0"/>
                <w:color w:val="000000"/>
                <w:kern w:val="0"/>
                <w:sz w:val="22"/>
                <w:szCs w:val="22"/>
                <w:u w:val="none"/>
                <w:lang w:val="en-US" w:eastAsia="zh-CN"/>
              </w:rPr>
            </w:pPr>
            <w:r>
              <w:rPr>
                <w:rFonts w:hint="eastAsia" w:ascii="仿宋_GB2312" w:hAnsi="宋体" w:eastAsia="仿宋_GB2312" w:cs="仿宋_GB2312"/>
                <w:i w:val="0"/>
                <w:color w:val="000000"/>
                <w:kern w:val="0"/>
                <w:sz w:val="22"/>
                <w:szCs w:val="22"/>
                <w:u w:val="none"/>
                <w:lang w:val="en-US" w:eastAsia="zh-CN"/>
              </w:rPr>
              <w:t>重大变更、直销员报酬支付、信息报备和披露、服务网点的设立、产品摆放及标价退换货制度的情况检查</w:t>
            </w:r>
          </w:p>
        </w:tc>
        <w:tc>
          <w:tcPr>
            <w:tcW w:w="118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直销企业</w:t>
            </w:r>
            <w:r>
              <w:rPr>
                <w:rFonts w:hint="eastAsia" w:ascii="仿宋_GB2312" w:hAnsi="宋体" w:eastAsia="仿宋_GB2312" w:cs="仿宋_GB2312"/>
                <w:i w:val="0"/>
                <w:color w:val="000000"/>
                <w:kern w:val="0"/>
                <w:sz w:val="22"/>
                <w:szCs w:val="22"/>
                <w:u w:val="none"/>
                <w:lang w:val="en-US" w:eastAsia="zh-CN"/>
              </w:rPr>
              <w:t>分支机构</w:t>
            </w:r>
          </w:p>
        </w:tc>
        <w:tc>
          <w:tcPr>
            <w:tcW w:w="151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一般检查事项</w:t>
            </w:r>
          </w:p>
        </w:tc>
        <w:tc>
          <w:tcPr>
            <w:tcW w:w="12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现场检查、书面检查、网络检查等</w:t>
            </w:r>
          </w:p>
        </w:tc>
        <w:tc>
          <w:tcPr>
            <w:tcW w:w="147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highlight w:val="none"/>
                <w:u w:val="none"/>
                <w:lang w:val="en-US" w:eastAsia="zh-CN"/>
              </w:rPr>
              <w:t>省级、市级市场监管部门</w:t>
            </w:r>
          </w:p>
        </w:tc>
        <w:tc>
          <w:tcPr>
            <w:tcW w:w="64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 xml:space="preserve">《直销管理条例》 </w:t>
            </w:r>
          </w:p>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《直销企业信息报备、披露管理办法》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 w:hRule="atLeast"/>
        </w:trPr>
        <w:tc>
          <w:tcPr>
            <w:tcW w:w="48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5</w:t>
            </w:r>
          </w:p>
        </w:tc>
        <w:tc>
          <w:tcPr>
            <w:tcW w:w="1016" w:type="dxa"/>
            <w:vMerge w:val="restart"/>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电子商务经营行为监督检查</w:t>
            </w:r>
          </w:p>
        </w:tc>
        <w:tc>
          <w:tcPr>
            <w:tcW w:w="94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电子商务平台经营者履行主体责任的检查</w:t>
            </w:r>
          </w:p>
        </w:tc>
        <w:tc>
          <w:tcPr>
            <w:tcW w:w="11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电子商务平台经营者</w:t>
            </w:r>
          </w:p>
        </w:tc>
        <w:tc>
          <w:tcPr>
            <w:tcW w:w="151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一般检查事项</w:t>
            </w:r>
          </w:p>
        </w:tc>
        <w:tc>
          <w:tcPr>
            <w:tcW w:w="12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书面检查、网络检查、专业机构核查</w:t>
            </w:r>
          </w:p>
        </w:tc>
        <w:tc>
          <w:tcPr>
            <w:tcW w:w="147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《电子商务法》第二十七条、第三十一条、第三十二条、第三十三条、第三十四条、第三十六条、第三十七条、第三十九条、第四十条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18"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6" w:hRule="atLeast"/>
        </w:trPr>
        <w:tc>
          <w:tcPr>
            <w:tcW w:w="48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6</w:t>
            </w:r>
          </w:p>
        </w:tc>
        <w:tc>
          <w:tcPr>
            <w:tcW w:w="10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拍卖等重要领域市场规范管理检查</w:t>
            </w:r>
          </w:p>
        </w:tc>
        <w:tc>
          <w:tcPr>
            <w:tcW w:w="94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拍卖活动经营资格的检查</w:t>
            </w:r>
          </w:p>
        </w:tc>
        <w:tc>
          <w:tcPr>
            <w:tcW w:w="118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企业、个体工商户</w:t>
            </w:r>
          </w:p>
        </w:tc>
        <w:tc>
          <w:tcPr>
            <w:tcW w:w="151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一般检查事项</w:t>
            </w:r>
          </w:p>
        </w:tc>
        <w:tc>
          <w:tcPr>
            <w:tcW w:w="129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现场检查</w:t>
            </w:r>
          </w:p>
        </w:tc>
        <w:tc>
          <w:tcPr>
            <w:tcW w:w="147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 xml:space="preserve">《拍卖法》第十一条、第六十条 </w:t>
            </w:r>
          </w:p>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《拍卖监督管理办法》第四条、第十一条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文物经营活动经营资格的检查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企业、个体工商户</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一般检查事项</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现场检查</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《文物保护法》第五十三条、第五十四条、第七十二条以及第七十三条第一项、第二项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为非法交易野生动物等违法行为提供交易服务的检查</w:t>
            </w:r>
          </w:p>
        </w:tc>
        <w:tc>
          <w:tcPr>
            <w:tcW w:w="11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企业、个体工商户</w:t>
            </w:r>
          </w:p>
        </w:tc>
        <w:tc>
          <w:tcPr>
            <w:tcW w:w="15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一般检查事项</w:t>
            </w:r>
          </w:p>
        </w:tc>
        <w:tc>
          <w:tcPr>
            <w:tcW w:w="12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现场检查</w:t>
            </w:r>
          </w:p>
        </w:tc>
        <w:tc>
          <w:tcPr>
            <w:tcW w:w="14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《野生动物保护法》第三十二条、第五十一条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40" w:hRule="atLeast"/>
        </w:trPr>
        <w:tc>
          <w:tcPr>
            <w:tcW w:w="48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7</w:t>
            </w:r>
          </w:p>
        </w:tc>
        <w:tc>
          <w:tcPr>
            <w:tcW w:w="10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广告行为检查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0"/>
                <w:szCs w:val="20"/>
                <w:u w:val="none"/>
                <w:lang w:val="en-US" w:eastAsia="zh-CN"/>
              </w:rPr>
              <w:t>药品、医疗器械、保健食品、特殊医学用途配方食品广告主发布相关广告的审查批准情况的检查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企业、个体工商户及其它经营单位</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一般检查事项</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现场检查</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《广告法》第四十六条</w:t>
            </w:r>
          </w:p>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《食品安全法》第七十九条</w:t>
            </w:r>
          </w:p>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《药品管理法》第五十九条</w:t>
            </w:r>
          </w:p>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《医疗器械监督管理条例》第四十五条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6"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0"/>
                <w:szCs w:val="20"/>
                <w:u w:val="none"/>
                <w:lang w:val="en-US" w:eastAsia="zh-CN"/>
              </w:rPr>
              <w:t>广告经营者、广告发布者建立、健全广告业务的承接登记、审核、档案管理制度情况的检查</w:t>
            </w:r>
          </w:p>
        </w:tc>
        <w:tc>
          <w:tcPr>
            <w:tcW w:w="11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企业、个体工商户及其它经营单位</w:t>
            </w:r>
          </w:p>
        </w:tc>
        <w:tc>
          <w:tcPr>
            <w:tcW w:w="15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一般检查事项</w:t>
            </w:r>
          </w:p>
        </w:tc>
        <w:tc>
          <w:tcPr>
            <w:tcW w:w="12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现场检查</w:t>
            </w:r>
          </w:p>
        </w:tc>
        <w:tc>
          <w:tcPr>
            <w:tcW w:w="14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《广告法》第三十四条、第六十一条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9"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8" w:hRule="atLeast"/>
        </w:trPr>
        <w:tc>
          <w:tcPr>
            <w:tcW w:w="48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8</w:t>
            </w:r>
          </w:p>
        </w:tc>
        <w:tc>
          <w:tcPr>
            <w:tcW w:w="10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产品质量监督抽查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生产领域产品质量监督抽查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eastAsia" w:ascii="仿宋_GB2312" w:hAnsi="宋体" w:eastAsia="仿宋_GB2312" w:cs="仿宋_GB2312"/>
                <w:i w:val="0"/>
                <w:color w:val="000000"/>
                <w:kern w:val="0"/>
                <w:sz w:val="22"/>
                <w:szCs w:val="22"/>
                <w:u w:val="none"/>
                <w:lang w:val="en-US" w:eastAsia="zh-CN"/>
              </w:rPr>
              <w:t>生产企业</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重点检查事项</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抽样检测</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 xml:space="preserve">《产品质量法》第十五条 </w:t>
            </w:r>
          </w:p>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《产品质量监督抽查管理办法》第二条、第六条、第十二条、第十七条</w:t>
            </w:r>
          </w:p>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《食品安全法》第一百一十条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1"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食品相关产品质量安全监督检查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获证企业</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重点检查事项</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现场检查</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《食品安全法》第一百一十条</w:t>
            </w:r>
          </w:p>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《产品质量法》第十五条</w:t>
            </w:r>
          </w:p>
          <w:p>
            <w:pPr>
              <w:widowControl/>
              <w:jc w:val="left"/>
              <w:textAlignment w:val="center"/>
              <w:rPr>
                <w:rFonts w:hint="eastAsia" w:ascii="仿宋_GB2312" w:hAnsi="宋体" w:eastAsia="仿宋_GB2312" w:cs="仿宋_GB2312"/>
                <w:i w:val="0"/>
                <w:color w:val="000000"/>
                <w:kern w:val="0"/>
                <w:sz w:val="22"/>
                <w:szCs w:val="22"/>
                <w:u w:val="none"/>
                <w:lang w:val="en-US" w:eastAsia="zh-CN"/>
              </w:rPr>
            </w:pPr>
            <w:r>
              <w:rPr>
                <w:rFonts w:hint="eastAsia" w:ascii="仿宋_GB2312" w:hAnsi="宋体" w:eastAsia="仿宋_GB2312" w:cs="仿宋_GB2312"/>
                <w:i w:val="0"/>
                <w:color w:val="000000"/>
                <w:kern w:val="0"/>
                <w:sz w:val="22"/>
                <w:szCs w:val="22"/>
                <w:u w:val="none"/>
                <w:lang w:val="en-US" w:eastAsia="zh-CN"/>
              </w:rPr>
              <w:t>《工业产品生产许可证管理条例》第三十六条、三十八条、三十九条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0" w:hRule="atLeast"/>
        </w:trPr>
        <w:tc>
          <w:tcPr>
            <w:tcW w:w="48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9</w:t>
            </w:r>
          </w:p>
        </w:tc>
        <w:tc>
          <w:tcPr>
            <w:tcW w:w="10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工业产品生产许可证产品生产企业检查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工业产品生产许可资格检查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企业、个体工商户</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一般检查事项</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现场检查</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《工业产品生产许可证管理条例》第三十六条、三十八条、三十九条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工业产品生产许可证获证企业条件检查</w:t>
            </w:r>
          </w:p>
        </w:tc>
        <w:tc>
          <w:tcPr>
            <w:tcW w:w="11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企业、个体工商户</w:t>
            </w:r>
          </w:p>
        </w:tc>
        <w:tc>
          <w:tcPr>
            <w:tcW w:w="15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重点检查事项</w:t>
            </w:r>
          </w:p>
        </w:tc>
        <w:tc>
          <w:tcPr>
            <w:tcW w:w="12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现场检查</w:t>
            </w:r>
          </w:p>
        </w:tc>
        <w:tc>
          <w:tcPr>
            <w:tcW w:w="14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6"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4" w:hRule="atLeast"/>
        </w:trPr>
        <w:tc>
          <w:tcPr>
            <w:tcW w:w="48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10</w:t>
            </w:r>
          </w:p>
        </w:tc>
        <w:tc>
          <w:tcPr>
            <w:tcW w:w="10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食品生产监督检查</w:t>
            </w: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食品生产监督检查</w:t>
            </w:r>
          </w:p>
        </w:tc>
        <w:tc>
          <w:tcPr>
            <w:tcW w:w="11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获证食品生产企业</w:t>
            </w:r>
          </w:p>
        </w:tc>
        <w:tc>
          <w:tcPr>
            <w:tcW w:w="15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重点检查事项</w:t>
            </w:r>
          </w:p>
        </w:tc>
        <w:tc>
          <w:tcPr>
            <w:tcW w:w="12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现场检查</w:t>
            </w:r>
          </w:p>
        </w:tc>
        <w:tc>
          <w:tcPr>
            <w:tcW w:w="14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 xml:space="preserve">《食品安全法》第一百一十条 </w:t>
            </w:r>
          </w:p>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《食品生产经营日常监督检查管理办法》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4" w:hRule="atLeast"/>
        </w:trPr>
        <w:tc>
          <w:tcPr>
            <w:tcW w:w="48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11</w:t>
            </w:r>
          </w:p>
        </w:tc>
        <w:tc>
          <w:tcPr>
            <w:tcW w:w="10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食品销售监督检查</w:t>
            </w: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校园食品销售监督检查</w:t>
            </w:r>
          </w:p>
        </w:tc>
        <w:tc>
          <w:tcPr>
            <w:tcW w:w="11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校园及校园周边食品销售者</w:t>
            </w:r>
          </w:p>
        </w:tc>
        <w:tc>
          <w:tcPr>
            <w:tcW w:w="15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重点检查事项</w:t>
            </w:r>
          </w:p>
        </w:tc>
        <w:tc>
          <w:tcPr>
            <w:tcW w:w="12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现场检查</w:t>
            </w:r>
          </w:p>
        </w:tc>
        <w:tc>
          <w:tcPr>
            <w:tcW w:w="14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《食品安全法》 第一百一十条</w:t>
            </w:r>
          </w:p>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《食品生产经营日常监督检查管理办法》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2"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4"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高风险食品销售监督检查</w:t>
            </w:r>
          </w:p>
        </w:tc>
        <w:tc>
          <w:tcPr>
            <w:tcW w:w="11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风险等级为B、C、D级的食品销售者</w:t>
            </w:r>
          </w:p>
        </w:tc>
        <w:tc>
          <w:tcPr>
            <w:tcW w:w="15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重点检查事项</w:t>
            </w:r>
          </w:p>
        </w:tc>
        <w:tc>
          <w:tcPr>
            <w:tcW w:w="12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现场检查</w:t>
            </w:r>
          </w:p>
        </w:tc>
        <w:tc>
          <w:tcPr>
            <w:tcW w:w="14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1"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4"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一般风险食品销售监督检查</w:t>
            </w:r>
          </w:p>
        </w:tc>
        <w:tc>
          <w:tcPr>
            <w:tcW w:w="11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风险等级为A级的食品销售者</w:t>
            </w:r>
          </w:p>
        </w:tc>
        <w:tc>
          <w:tcPr>
            <w:tcW w:w="15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一般检查事项</w:t>
            </w:r>
          </w:p>
        </w:tc>
        <w:tc>
          <w:tcPr>
            <w:tcW w:w="12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现场检查</w:t>
            </w:r>
          </w:p>
        </w:tc>
        <w:tc>
          <w:tcPr>
            <w:tcW w:w="14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4"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4"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6"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网络食品销售监督检查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网络食品交易第三方平台、入网食品销售者</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一般检查事项</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现场检查、书面检查、网络检查</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 w:hRule="atLeast"/>
        </w:trPr>
        <w:tc>
          <w:tcPr>
            <w:tcW w:w="48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12</w:t>
            </w:r>
          </w:p>
        </w:tc>
        <w:tc>
          <w:tcPr>
            <w:tcW w:w="10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餐饮服务监督检查</w:t>
            </w: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食品经营许可情况的检查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餐饮服务经营者</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一般检查事项</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现场检查、书面检查</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《食品安全法》第一百一十条</w:t>
            </w:r>
          </w:p>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《食品生产经营日常监督检查管理办法》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1"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学校、托幼机构、养老机构等食堂</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重点检查事项</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现场检查、书面检查</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原料控制（含食品添加剂）情况的检查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餐饮服务经营者</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一般检查事项</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现场检查、书面检查</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0"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学校、托幼机构、养老机构等食堂</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重点检查事项</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现场检查、书面检查</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5"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加工制作过程的检查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餐饮服务经营者</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一般检查事项</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现场检查、书面检查</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1"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学校、托幼机构、养老机构等食堂</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重点检查事项</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现场检查、书面检查</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9"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供餐、用餐与配送情况的检查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餐饮服务经营者</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一般检查事项</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现场检查、书面检查</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学校、托幼机构、养老机构等食堂</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重点检查事项</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现场检查、书面检查</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5"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餐饮具清洗消毒情况的检查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餐饮服务经营者</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一般检查事项</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现场检查、书面检查</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5"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学校、托幼机构、养老机构等食堂</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重点检查事项</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现场检查、书面检查</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场所和设施清洁维护情况的检查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餐饮服务经营者</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一般检查事项</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现场检查、书面检查</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1"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学校、托幼机构、养老机构等食堂</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重点检查事项</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现场检查、书面检查</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0"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食品安全管理情况的检查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餐饮服务经营者</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一般检查事项</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现场检查、书面检查</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9"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学校、托幼机构、养老机构等食堂</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重点检查事项</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现场检查、书面检查</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1"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人员管理情况的检查</w:t>
            </w:r>
          </w:p>
        </w:tc>
        <w:tc>
          <w:tcPr>
            <w:tcW w:w="118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餐饮服务经营者</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一般检查事项</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现场检查、书面检查</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4"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学校、托幼机构、养老机构等食堂</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重点检查事项</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现场检查、书面检查</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网络餐饮服务情况的检查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入网餐饮服务提供者、网络餐饮服务第三方平台</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一般检查事项</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网络检查、现场检查、书面检查</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《食品安全法》第一百一十条</w:t>
            </w:r>
          </w:p>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《网络餐饮服务食品安全监督管理办法》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75" w:hRule="atLeast"/>
        </w:trPr>
        <w:tc>
          <w:tcPr>
            <w:tcW w:w="48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13</w:t>
            </w:r>
          </w:p>
        </w:tc>
        <w:tc>
          <w:tcPr>
            <w:tcW w:w="10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食用农产品市场销售质量安全检查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食用农产品集中交易市场监督检查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食用农产品集中交易市场（含批发市场和农贸市场）</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重点检查事项</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现场检查、抽样检测</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《食品安全法》第一百一十条</w:t>
            </w:r>
          </w:p>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《食用农产品市场销售质量安全监督管理办法》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食用农产品销售企业（者）监督检查</w:t>
            </w:r>
          </w:p>
        </w:tc>
        <w:tc>
          <w:tcPr>
            <w:tcW w:w="11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食用农产品销售企业（含批发企业和零售企业）、其他销售者</w:t>
            </w:r>
          </w:p>
        </w:tc>
        <w:tc>
          <w:tcPr>
            <w:tcW w:w="15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重点检查事项</w:t>
            </w:r>
          </w:p>
        </w:tc>
        <w:tc>
          <w:tcPr>
            <w:tcW w:w="12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现场检查、抽样检测</w:t>
            </w:r>
          </w:p>
        </w:tc>
        <w:tc>
          <w:tcPr>
            <w:tcW w:w="14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5"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3" w:hRule="atLeast"/>
        </w:trPr>
        <w:tc>
          <w:tcPr>
            <w:tcW w:w="48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14</w:t>
            </w:r>
          </w:p>
        </w:tc>
        <w:tc>
          <w:tcPr>
            <w:tcW w:w="10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特殊食品销售监督检查</w:t>
            </w: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婴幼儿配方食品销售监督检查</w:t>
            </w:r>
          </w:p>
        </w:tc>
        <w:tc>
          <w:tcPr>
            <w:tcW w:w="11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婴幼儿配方食品销售者</w:t>
            </w:r>
          </w:p>
        </w:tc>
        <w:tc>
          <w:tcPr>
            <w:tcW w:w="15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一般检查事项</w:t>
            </w:r>
          </w:p>
        </w:tc>
        <w:tc>
          <w:tcPr>
            <w:tcW w:w="12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现场检查、书面检查</w:t>
            </w:r>
          </w:p>
        </w:tc>
        <w:tc>
          <w:tcPr>
            <w:tcW w:w="14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《食品安全法》第一百零九条、第一百一十条、第一百一十三条、第一百一十四条</w:t>
            </w:r>
          </w:p>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《乳品质量安全监督管理条例》第四十六条、第四十八条、第五十条等</w:t>
            </w:r>
          </w:p>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《食品生产经营日常监督检查管理办法》第九条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4"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13"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特殊医学用途配方食品销售监督检查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特殊医学用途配方食品销售者</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一般检查事项</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现场检查、书面检查</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《食品安全法》第一百零九条、第一百一十条、第一百一十三条、第一百一十四条</w:t>
            </w:r>
          </w:p>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《食品生产经营日常监督检查管理办法》第九条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1"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保健食品销售监督检查</w:t>
            </w:r>
          </w:p>
        </w:tc>
        <w:tc>
          <w:tcPr>
            <w:tcW w:w="11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保健食品销售者</w:t>
            </w:r>
          </w:p>
        </w:tc>
        <w:tc>
          <w:tcPr>
            <w:tcW w:w="15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一般检查事项</w:t>
            </w:r>
          </w:p>
        </w:tc>
        <w:tc>
          <w:tcPr>
            <w:tcW w:w="12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现场检查、书面检查</w:t>
            </w:r>
          </w:p>
        </w:tc>
        <w:tc>
          <w:tcPr>
            <w:tcW w:w="14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《食品安全法》第一百零九条、第一百一十条、第一百一十三条、第一百一十四条</w:t>
            </w:r>
          </w:p>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《食品生产经营日常监督检查管理办法》第九条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2"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60" w:hRule="atLeast"/>
        </w:trPr>
        <w:tc>
          <w:tcPr>
            <w:tcW w:w="48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15</w:t>
            </w:r>
          </w:p>
        </w:tc>
        <w:tc>
          <w:tcPr>
            <w:tcW w:w="10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食品安全监督抽检</w:t>
            </w: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食品安全监督抽检</w:t>
            </w:r>
          </w:p>
        </w:tc>
        <w:tc>
          <w:tcPr>
            <w:tcW w:w="11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市场在售食品</w:t>
            </w:r>
          </w:p>
        </w:tc>
        <w:tc>
          <w:tcPr>
            <w:tcW w:w="15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重点检查事项</w:t>
            </w:r>
          </w:p>
        </w:tc>
        <w:tc>
          <w:tcPr>
            <w:tcW w:w="12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抽样检验</w:t>
            </w:r>
          </w:p>
        </w:tc>
        <w:tc>
          <w:tcPr>
            <w:tcW w:w="14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 xml:space="preserve">《食品安全法》第八十七条 </w:t>
            </w:r>
          </w:p>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《食品安全抽样检验管理办法》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3"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48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auto"/>
                <w:sz w:val="24"/>
                <w:szCs w:val="24"/>
                <w:highlight w:val="none"/>
                <w:u w:val="none"/>
              </w:rPr>
            </w:pPr>
            <w:r>
              <w:rPr>
                <w:rFonts w:hint="default" w:ascii="仿宋_GB2312" w:hAnsi="宋体" w:eastAsia="仿宋_GB2312" w:cs="仿宋_GB2312"/>
                <w:i w:val="0"/>
                <w:color w:val="auto"/>
                <w:kern w:val="0"/>
                <w:sz w:val="22"/>
                <w:szCs w:val="22"/>
                <w:highlight w:val="none"/>
                <w:u w:val="none"/>
                <w:lang w:val="en-US" w:eastAsia="zh-CN"/>
              </w:rPr>
              <w:t>16</w:t>
            </w:r>
          </w:p>
        </w:tc>
        <w:tc>
          <w:tcPr>
            <w:tcW w:w="101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default" w:ascii="仿宋_GB2312" w:hAnsi="宋体" w:eastAsia="仿宋_GB2312" w:cs="仿宋_GB2312"/>
                <w:i w:val="0"/>
                <w:color w:val="auto"/>
                <w:kern w:val="0"/>
                <w:sz w:val="22"/>
                <w:szCs w:val="22"/>
                <w:highlight w:val="none"/>
                <w:u w:val="none"/>
                <w:lang w:val="en-US" w:eastAsia="zh-CN"/>
              </w:rPr>
              <w:t>特种设备监督检查</w:t>
            </w:r>
          </w:p>
        </w:tc>
        <w:tc>
          <w:tcPr>
            <w:tcW w:w="94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default" w:ascii="仿宋_GB2312" w:hAnsi="宋体" w:eastAsia="仿宋_GB2312" w:cs="仿宋_GB2312"/>
                <w:i w:val="0"/>
                <w:color w:val="auto"/>
                <w:kern w:val="0"/>
                <w:sz w:val="22"/>
                <w:szCs w:val="22"/>
                <w:highlight w:val="none"/>
                <w:u w:val="none"/>
                <w:lang w:val="en-US" w:eastAsia="zh-CN"/>
              </w:rPr>
              <w:t>特种设备证后监督检查</w:t>
            </w:r>
          </w:p>
        </w:tc>
        <w:tc>
          <w:tcPr>
            <w:tcW w:w="118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default" w:ascii="仿宋_GB2312" w:hAnsi="宋体" w:eastAsia="仿宋_GB2312" w:cs="仿宋_GB2312"/>
                <w:i w:val="0"/>
                <w:color w:val="auto"/>
                <w:kern w:val="0"/>
                <w:sz w:val="22"/>
                <w:szCs w:val="22"/>
                <w:highlight w:val="none"/>
                <w:u w:val="none"/>
                <w:lang w:val="en-US" w:eastAsia="zh-CN"/>
              </w:rPr>
              <w:t>市局许可的特种设备生产、充装单位</w:t>
            </w:r>
          </w:p>
        </w:tc>
        <w:tc>
          <w:tcPr>
            <w:tcW w:w="151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default" w:ascii="仿宋_GB2312" w:hAnsi="宋体" w:eastAsia="仿宋_GB2312" w:cs="仿宋_GB2312"/>
                <w:i w:val="0"/>
                <w:color w:val="auto"/>
                <w:kern w:val="0"/>
                <w:sz w:val="22"/>
                <w:szCs w:val="22"/>
                <w:highlight w:val="none"/>
                <w:u w:val="none"/>
                <w:lang w:val="en-US" w:eastAsia="zh-CN"/>
              </w:rPr>
              <w:t>重点检查事项</w:t>
            </w:r>
          </w:p>
        </w:tc>
        <w:tc>
          <w:tcPr>
            <w:tcW w:w="12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default" w:ascii="仿宋_GB2312" w:hAnsi="宋体" w:eastAsia="仿宋_GB2312" w:cs="仿宋_GB2312"/>
                <w:i w:val="0"/>
                <w:color w:val="auto"/>
                <w:kern w:val="0"/>
                <w:sz w:val="22"/>
                <w:szCs w:val="22"/>
                <w:highlight w:val="none"/>
                <w:u w:val="none"/>
                <w:lang w:val="en-US" w:eastAsia="zh-CN"/>
              </w:rPr>
              <w:t>现场检查、书面检查</w:t>
            </w:r>
          </w:p>
        </w:tc>
        <w:tc>
          <w:tcPr>
            <w:tcW w:w="147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auto"/>
                <w:sz w:val="24"/>
                <w:szCs w:val="24"/>
                <w:highlight w:val="none"/>
                <w:u w:val="none"/>
              </w:rPr>
            </w:pPr>
            <w:r>
              <w:rPr>
                <w:rFonts w:hint="default" w:ascii="仿宋_GB2312" w:hAnsi="宋体" w:eastAsia="仿宋_GB2312" w:cs="仿宋_GB2312"/>
                <w:i w:val="0"/>
                <w:color w:val="auto"/>
                <w:kern w:val="0"/>
                <w:sz w:val="22"/>
                <w:szCs w:val="22"/>
                <w:highlight w:val="none"/>
                <w:u w:val="none"/>
                <w:lang w:val="en-US" w:eastAsia="zh-CN"/>
              </w:rPr>
              <w:t>市级市场监管部门</w:t>
            </w:r>
          </w:p>
        </w:tc>
        <w:tc>
          <w:tcPr>
            <w:tcW w:w="643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default" w:ascii="仿宋_GB2312" w:hAnsi="宋体" w:eastAsia="仿宋_GB2312" w:cs="仿宋_GB2312"/>
                <w:i w:val="0"/>
                <w:color w:val="auto"/>
                <w:kern w:val="0"/>
                <w:sz w:val="22"/>
                <w:szCs w:val="22"/>
                <w:highlight w:val="none"/>
                <w:u w:val="none"/>
                <w:lang w:val="en-US" w:eastAsia="zh-CN"/>
              </w:rPr>
              <w:t>《特种设备安全监督检查办法》（总局令第57号）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481"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1016" w:type="dxa"/>
            <w:vMerge w:val="continue"/>
            <w:tcBorders>
              <w:left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auto"/>
                <w:sz w:val="24"/>
                <w:szCs w:val="24"/>
                <w:highlight w:val="none"/>
                <w:u w:val="none"/>
              </w:rPr>
            </w:pPr>
          </w:p>
        </w:tc>
        <w:tc>
          <w:tcPr>
            <w:tcW w:w="94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宋体" w:eastAsia="仿宋_GB2312" w:cs="仿宋_GB2312"/>
                <w:i w:val="0"/>
                <w:color w:val="auto"/>
                <w:kern w:val="0"/>
                <w:sz w:val="22"/>
                <w:szCs w:val="22"/>
                <w:highlight w:val="none"/>
                <w:u w:val="none"/>
                <w:lang w:val="en-US" w:eastAsia="zh-CN"/>
              </w:rPr>
            </w:pPr>
            <w:r>
              <w:rPr>
                <w:rFonts w:hint="eastAsia" w:ascii="仿宋_GB2312" w:hAnsi="宋体" w:eastAsia="仿宋_GB2312" w:cs="仿宋_GB2312"/>
                <w:i w:val="0"/>
                <w:color w:val="auto"/>
                <w:kern w:val="0"/>
                <w:sz w:val="22"/>
                <w:szCs w:val="22"/>
                <w:highlight w:val="none"/>
                <w:u w:val="none"/>
                <w:lang w:val="en-US" w:eastAsia="zh-CN"/>
              </w:rPr>
              <w:t>特种设备常规监督检查和重点单位检查</w:t>
            </w:r>
          </w:p>
        </w:tc>
        <w:tc>
          <w:tcPr>
            <w:tcW w:w="118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宋体" w:eastAsia="仿宋_GB2312" w:cs="仿宋_GB2312"/>
                <w:i w:val="0"/>
                <w:color w:val="auto"/>
                <w:kern w:val="0"/>
                <w:sz w:val="22"/>
                <w:szCs w:val="22"/>
                <w:highlight w:val="none"/>
                <w:u w:val="none"/>
                <w:lang w:val="en-US" w:eastAsia="zh-CN"/>
              </w:rPr>
            </w:pPr>
            <w:r>
              <w:rPr>
                <w:rFonts w:hint="eastAsia" w:ascii="仿宋_GB2312" w:hAnsi="宋体" w:eastAsia="仿宋_GB2312" w:cs="仿宋_GB2312"/>
                <w:i w:val="0"/>
                <w:color w:val="auto"/>
                <w:kern w:val="0"/>
                <w:sz w:val="22"/>
                <w:szCs w:val="22"/>
                <w:highlight w:val="none"/>
                <w:u w:val="none"/>
                <w:lang w:val="en-US" w:eastAsia="zh-CN"/>
              </w:rPr>
              <w:t>特种设备生产单位、充装单位；特种设备使用单位</w:t>
            </w:r>
          </w:p>
        </w:tc>
        <w:tc>
          <w:tcPr>
            <w:tcW w:w="151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宋体" w:eastAsia="仿宋_GB2312" w:cs="仿宋_GB2312"/>
                <w:i w:val="0"/>
                <w:color w:val="auto"/>
                <w:kern w:val="0"/>
                <w:sz w:val="22"/>
                <w:szCs w:val="22"/>
                <w:highlight w:val="none"/>
                <w:u w:val="none"/>
                <w:lang w:val="en-US" w:eastAsia="zh-CN"/>
              </w:rPr>
            </w:pPr>
            <w:r>
              <w:rPr>
                <w:rFonts w:hint="default" w:ascii="仿宋_GB2312" w:hAnsi="宋体" w:eastAsia="仿宋_GB2312" w:cs="仿宋_GB2312"/>
                <w:i w:val="0"/>
                <w:color w:val="auto"/>
                <w:kern w:val="0"/>
                <w:sz w:val="22"/>
                <w:szCs w:val="22"/>
                <w:highlight w:val="none"/>
                <w:u w:val="none"/>
                <w:lang w:val="en-US" w:eastAsia="zh-CN"/>
              </w:rPr>
              <w:t>重点检查事项</w:t>
            </w:r>
          </w:p>
        </w:tc>
        <w:tc>
          <w:tcPr>
            <w:tcW w:w="12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宋体" w:eastAsia="仿宋_GB2312" w:cs="仿宋_GB2312"/>
                <w:i w:val="0"/>
                <w:color w:val="auto"/>
                <w:kern w:val="0"/>
                <w:sz w:val="22"/>
                <w:szCs w:val="22"/>
                <w:highlight w:val="none"/>
                <w:u w:val="none"/>
                <w:lang w:val="en-US" w:eastAsia="zh-CN"/>
              </w:rPr>
            </w:pPr>
            <w:r>
              <w:rPr>
                <w:rFonts w:hint="eastAsia" w:ascii="仿宋_GB2312" w:hAnsi="宋体" w:eastAsia="仿宋_GB2312" w:cs="仿宋_GB2312"/>
                <w:i w:val="0"/>
                <w:color w:val="auto"/>
                <w:kern w:val="0"/>
                <w:sz w:val="22"/>
                <w:szCs w:val="22"/>
                <w:highlight w:val="none"/>
                <w:u w:val="none"/>
                <w:lang w:val="en-US" w:eastAsia="zh-CN"/>
              </w:rPr>
              <w:t>现场检查、书面检查</w:t>
            </w:r>
          </w:p>
        </w:tc>
        <w:tc>
          <w:tcPr>
            <w:tcW w:w="147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i w:val="0"/>
                <w:color w:val="auto"/>
                <w:kern w:val="0"/>
                <w:sz w:val="22"/>
                <w:szCs w:val="22"/>
                <w:highlight w:val="none"/>
                <w:u w:val="none"/>
                <w:lang w:val="en-US" w:eastAsia="zh-CN"/>
              </w:rPr>
            </w:pPr>
            <w:r>
              <w:rPr>
                <w:rFonts w:hint="eastAsia" w:ascii="仿宋_GB2312" w:hAnsi="宋体" w:eastAsia="仿宋_GB2312" w:cs="仿宋_GB2312"/>
                <w:i w:val="0"/>
                <w:color w:val="auto"/>
                <w:kern w:val="0"/>
                <w:sz w:val="22"/>
                <w:szCs w:val="22"/>
                <w:highlight w:val="none"/>
                <w:u w:val="none"/>
                <w:lang w:val="en-US" w:eastAsia="zh-CN"/>
              </w:rPr>
              <w:t>县级市场监管部门</w:t>
            </w:r>
          </w:p>
        </w:tc>
        <w:tc>
          <w:tcPr>
            <w:tcW w:w="6435" w:type="dxa"/>
            <w:vMerge w:val="continue"/>
            <w:tcBorders>
              <w:left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9" w:hRule="atLeast"/>
        </w:trPr>
        <w:tc>
          <w:tcPr>
            <w:tcW w:w="48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17</w:t>
            </w:r>
          </w:p>
        </w:tc>
        <w:tc>
          <w:tcPr>
            <w:tcW w:w="10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计量监督检查</w:t>
            </w: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在用计量器具监督检查</w:t>
            </w:r>
          </w:p>
        </w:tc>
        <w:tc>
          <w:tcPr>
            <w:tcW w:w="11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企业、事业单位、个体工商户及其他经营者</w:t>
            </w:r>
          </w:p>
        </w:tc>
        <w:tc>
          <w:tcPr>
            <w:tcW w:w="15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重点检查事项</w:t>
            </w:r>
          </w:p>
        </w:tc>
        <w:tc>
          <w:tcPr>
            <w:tcW w:w="12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现场检查、抽样检测</w:t>
            </w:r>
          </w:p>
        </w:tc>
        <w:tc>
          <w:tcPr>
            <w:tcW w:w="14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省级以下市场监管部门</w:t>
            </w:r>
          </w:p>
        </w:tc>
        <w:tc>
          <w:tcPr>
            <w:tcW w:w="64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《计量法》第十八条</w:t>
            </w:r>
          </w:p>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《集贸市场计量监督管理办法》第八条</w:t>
            </w:r>
          </w:p>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《加油站计量监督管理办法》第六条</w:t>
            </w:r>
          </w:p>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《眼镜制配计量监督管理办法》第七条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9"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6"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法定计量检定机构专项监督检查</w:t>
            </w:r>
          </w:p>
        </w:tc>
        <w:tc>
          <w:tcPr>
            <w:tcW w:w="11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法定计量检定机构</w:t>
            </w:r>
          </w:p>
        </w:tc>
        <w:tc>
          <w:tcPr>
            <w:tcW w:w="15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一般检查事项</w:t>
            </w:r>
          </w:p>
        </w:tc>
        <w:tc>
          <w:tcPr>
            <w:tcW w:w="12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现场检查、书面检查</w:t>
            </w:r>
          </w:p>
        </w:tc>
        <w:tc>
          <w:tcPr>
            <w:tcW w:w="14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《计量法》第十八条</w:t>
            </w:r>
          </w:p>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《计量法实施细则》第二十八条</w:t>
            </w:r>
          </w:p>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《法定计量检定机构监督管理办法》第十五、十六条</w:t>
            </w:r>
          </w:p>
          <w:p>
            <w:pPr>
              <w:widowControl/>
              <w:jc w:val="left"/>
              <w:textAlignment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6"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7"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计量单位使用情况专项监督检查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宣传出版、文化教育、市场交易等领域</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重点检查事项</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现场检查、书面检查</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省级以下市场监管部门</w:t>
            </w:r>
          </w:p>
        </w:tc>
        <w:tc>
          <w:tcPr>
            <w:tcW w:w="6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《计量法》第十八条</w:t>
            </w:r>
          </w:p>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《全面推行我国法定计量单位的意见》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定量包装商品净含量国家计量监督专项抽查</w:t>
            </w:r>
          </w:p>
        </w:tc>
        <w:tc>
          <w:tcPr>
            <w:tcW w:w="11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企业、个体工商户及其他经营者</w:t>
            </w:r>
          </w:p>
        </w:tc>
        <w:tc>
          <w:tcPr>
            <w:tcW w:w="15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一般检查事项</w:t>
            </w:r>
          </w:p>
        </w:tc>
        <w:tc>
          <w:tcPr>
            <w:tcW w:w="12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抽样检测</w:t>
            </w:r>
          </w:p>
        </w:tc>
        <w:tc>
          <w:tcPr>
            <w:tcW w:w="14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省级以下市场监管部门</w:t>
            </w:r>
          </w:p>
        </w:tc>
        <w:tc>
          <w:tcPr>
            <w:tcW w:w="64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《计量法》第十八条</w:t>
            </w:r>
          </w:p>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《定量包装商品计量监督管理办法》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6"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型式批准监督检查</w:t>
            </w:r>
          </w:p>
        </w:tc>
        <w:tc>
          <w:tcPr>
            <w:tcW w:w="11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企业、事业单位、个体工商户及其他经营者</w:t>
            </w:r>
          </w:p>
        </w:tc>
        <w:tc>
          <w:tcPr>
            <w:tcW w:w="15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重点检查事项</w:t>
            </w:r>
          </w:p>
        </w:tc>
        <w:tc>
          <w:tcPr>
            <w:tcW w:w="12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现场检查、抽样检测</w:t>
            </w:r>
          </w:p>
        </w:tc>
        <w:tc>
          <w:tcPr>
            <w:tcW w:w="14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省级以下市场监管部门</w:t>
            </w:r>
          </w:p>
        </w:tc>
        <w:tc>
          <w:tcPr>
            <w:tcW w:w="64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《计量法》第十八条</w:t>
            </w:r>
          </w:p>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《计量法实施细则》第十八、二十条</w:t>
            </w:r>
          </w:p>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《计量器具新产品管理办法》第十八条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1"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6"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能效标识计量专项监督检查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企业</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重点检查事项</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抽样检测</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省级以下市场监管部门</w:t>
            </w:r>
          </w:p>
        </w:tc>
        <w:tc>
          <w:tcPr>
            <w:tcW w:w="6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《节约能源法》第七十三条</w:t>
            </w:r>
          </w:p>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《能源计量监督管理办法》第十六条</w:t>
            </w:r>
          </w:p>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《能源效率标识管理办法》第十八条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8"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水效标识计量专项监督检查</w:t>
            </w:r>
          </w:p>
        </w:tc>
        <w:tc>
          <w:tcPr>
            <w:tcW w:w="11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企业</w:t>
            </w:r>
          </w:p>
        </w:tc>
        <w:tc>
          <w:tcPr>
            <w:tcW w:w="15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重点检查事项</w:t>
            </w:r>
          </w:p>
        </w:tc>
        <w:tc>
          <w:tcPr>
            <w:tcW w:w="12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抽样检测</w:t>
            </w:r>
          </w:p>
        </w:tc>
        <w:tc>
          <w:tcPr>
            <w:tcW w:w="14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省级以下市场监管部门</w:t>
            </w:r>
          </w:p>
        </w:tc>
        <w:tc>
          <w:tcPr>
            <w:tcW w:w="64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《水效标识管理办法》第十七条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5"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highlight w:val="yellow"/>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highlight w:val="yellow"/>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highlight w:val="yellow"/>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highlight w:val="yellow"/>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highlight w:val="yellow"/>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highlight w:val="yellow"/>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highlight w:val="yellow"/>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highlight w:val="yellow"/>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 w:hRule="atLeast"/>
        </w:trPr>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rPr>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rPr>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4" w:hRule="atLeast"/>
        </w:trPr>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481"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5" w:hRule="atLeast"/>
        </w:trPr>
        <w:tc>
          <w:tcPr>
            <w:tcW w:w="481"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i w:val="0"/>
                <w:color w:val="000000"/>
                <w:sz w:val="24"/>
                <w:szCs w:val="24"/>
                <w:highlight w:val="none"/>
                <w:u w:val="none"/>
                <w:lang w:val="en-US"/>
              </w:rPr>
            </w:pPr>
            <w:r>
              <w:rPr>
                <w:rFonts w:hint="eastAsia" w:ascii="仿宋_GB2312" w:hAnsi="宋体" w:eastAsia="仿宋_GB2312" w:cs="仿宋_GB2312"/>
                <w:i w:val="0"/>
                <w:color w:val="000000"/>
                <w:kern w:val="0"/>
                <w:sz w:val="22"/>
                <w:szCs w:val="22"/>
                <w:highlight w:val="none"/>
                <w:u w:val="none"/>
                <w:lang w:val="en-US" w:eastAsia="zh-CN"/>
              </w:rPr>
              <w:t>18</w:t>
            </w:r>
          </w:p>
        </w:tc>
        <w:tc>
          <w:tcPr>
            <w:tcW w:w="1016"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highlight w:val="none"/>
                <w:u w:val="none"/>
              </w:rPr>
            </w:pPr>
            <w:r>
              <w:rPr>
                <w:rFonts w:hint="default" w:ascii="仿宋_GB2312" w:hAnsi="宋体" w:eastAsia="仿宋_GB2312" w:cs="仿宋_GB2312"/>
                <w:i w:val="0"/>
                <w:color w:val="000000"/>
                <w:kern w:val="0"/>
                <w:sz w:val="22"/>
                <w:szCs w:val="22"/>
                <w:highlight w:val="none"/>
                <w:u w:val="none"/>
                <w:lang w:val="en-US" w:eastAsia="zh-CN"/>
              </w:rPr>
              <w:t>检验检测机构检查</w:t>
            </w:r>
          </w:p>
        </w:tc>
        <w:tc>
          <w:tcPr>
            <w:tcW w:w="94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highlight w:val="none"/>
                <w:u w:val="none"/>
              </w:rPr>
            </w:pPr>
            <w:r>
              <w:rPr>
                <w:rFonts w:hint="default" w:ascii="仿宋_GB2312" w:hAnsi="宋体" w:eastAsia="仿宋_GB2312" w:cs="仿宋_GB2312"/>
                <w:i w:val="0"/>
                <w:color w:val="000000"/>
                <w:kern w:val="0"/>
                <w:sz w:val="22"/>
                <w:szCs w:val="22"/>
                <w:highlight w:val="none"/>
                <w:u w:val="none"/>
                <w:lang w:val="en-US" w:eastAsia="zh-CN"/>
              </w:rPr>
              <w:t>检验检测机构检查</w:t>
            </w:r>
          </w:p>
        </w:tc>
        <w:tc>
          <w:tcPr>
            <w:tcW w:w="118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highlight w:val="none"/>
                <w:u w:val="none"/>
              </w:rPr>
            </w:pPr>
            <w:r>
              <w:rPr>
                <w:rFonts w:hint="default" w:ascii="仿宋_GB2312" w:hAnsi="宋体" w:eastAsia="仿宋_GB2312" w:cs="仿宋_GB2312"/>
                <w:i w:val="0"/>
                <w:color w:val="000000"/>
                <w:kern w:val="0"/>
                <w:sz w:val="22"/>
                <w:szCs w:val="22"/>
                <w:highlight w:val="none"/>
                <w:u w:val="none"/>
                <w:lang w:val="en-US" w:eastAsia="zh-CN"/>
              </w:rPr>
              <w:t>检验检测机构</w:t>
            </w:r>
          </w:p>
        </w:tc>
        <w:tc>
          <w:tcPr>
            <w:tcW w:w="151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highlight w:val="none"/>
                <w:u w:val="none"/>
              </w:rPr>
            </w:pPr>
            <w:r>
              <w:rPr>
                <w:rFonts w:hint="default" w:ascii="仿宋_GB2312" w:hAnsi="宋体" w:eastAsia="仿宋_GB2312" w:cs="仿宋_GB2312"/>
                <w:i w:val="0"/>
                <w:color w:val="000000"/>
                <w:kern w:val="0"/>
                <w:sz w:val="22"/>
                <w:szCs w:val="22"/>
                <w:highlight w:val="none"/>
                <w:u w:val="none"/>
                <w:lang w:val="en-US" w:eastAsia="zh-CN"/>
              </w:rPr>
              <w:t>一般检查事项</w:t>
            </w:r>
          </w:p>
        </w:tc>
        <w:tc>
          <w:tcPr>
            <w:tcW w:w="129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highlight w:val="none"/>
                <w:u w:val="none"/>
              </w:rPr>
            </w:pPr>
            <w:r>
              <w:rPr>
                <w:rFonts w:hint="default" w:ascii="仿宋_GB2312" w:hAnsi="宋体" w:eastAsia="仿宋_GB2312" w:cs="仿宋_GB2312"/>
                <w:i w:val="0"/>
                <w:color w:val="000000"/>
                <w:kern w:val="0"/>
                <w:sz w:val="22"/>
                <w:szCs w:val="22"/>
                <w:highlight w:val="none"/>
                <w:u w:val="none"/>
                <w:lang w:val="en-US" w:eastAsia="zh-CN"/>
              </w:rPr>
              <w:t>现场检查、书面检查</w:t>
            </w:r>
          </w:p>
        </w:tc>
        <w:tc>
          <w:tcPr>
            <w:tcW w:w="14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highlight w:val="none"/>
                <w:u w:val="none"/>
              </w:rPr>
            </w:pPr>
            <w:r>
              <w:rPr>
                <w:rFonts w:hint="default" w:ascii="仿宋_GB2312" w:hAnsi="宋体" w:eastAsia="仿宋_GB2312" w:cs="仿宋_GB2312"/>
                <w:i w:val="0"/>
                <w:color w:val="000000"/>
                <w:kern w:val="0"/>
                <w:sz w:val="22"/>
                <w:szCs w:val="22"/>
                <w:highlight w:val="none"/>
                <w:u w:val="none"/>
                <w:lang w:val="en-US" w:eastAsia="zh-CN"/>
              </w:rPr>
              <w:t>县级以上市场监管部门</w:t>
            </w:r>
          </w:p>
        </w:tc>
        <w:tc>
          <w:tcPr>
            <w:tcW w:w="6435"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default" w:ascii="仿宋_GB2312" w:hAnsi="宋体" w:eastAsia="仿宋_GB2312" w:cs="仿宋_GB2312"/>
                <w:i w:val="0"/>
                <w:color w:val="000000"/>
                <w:kern w:val="0"/>
                <w:sz w:val="22"/>
                <w:szCs w:val="22"/>
                <w:highlight w:val="none"/>
                <w:u w:val="none"/>
                <w:lang w:val="en-US" w:eastAsia="zh-CN"/>
              </w:rPr>
            </w:pPr>
            <w:r>
              <w:rPr>
                <w:rFonts w:hint="default" w:ascii="仿宋_GB2312" w:hAnsi="宋体" w:eastAsia="仿宋_GB2312" w:cs="仿宋_GB2312"/>
                <w:i w:val="0"/>
                <w:color w:val="000000"/>
                <w:kern w:val="0"/>
                <w:sz w:val="22"/>
                <w:szCs w:val="22"/>
                <w:highlight w:val="none"/>
                <w:u w:val="none"/>
                <w:lang w:val="en-US" w:eastAsia="zh-CN"/>
              </w:rPr>
              <w:t>《计量法》第二十二条</w:t>
            </w:r>
          </w:p>
          <w:p>
            <w:pPr>
              <w:widowControl/>
              <w:jc w:val="left"/>
              <w:textAlignment w:val="center"/>
              <w:rPr>
                <w:rFonts w:hint="default" w:ascii="仿宋_GB2312" w:hAnsi="宋体" w:eastAsia="仿宋_GB2312" w:cs="仿宋_GB2312"/>
                <w:i w:val="0"/>
                <w:color w:val="000000"/>
                <w:kern w:val="0"/>
                <w:sz w:val="22"/>
                <w:szCs w:val="22"/>
                <w:highlight w:val="none"/>
                <w:u w:val="none"/>
                <w:lang w:val="en-US" w:eastAsia="zh-CN"/>
              </w:rPr>
            </w:pPr>
            <w:r>
              <w:rPr>
                <w:rFonts w:hint="default" w:ascii="仿宋_GB2312" w:hAnsi="宋体" w:eastAsia="仿宋_GB2312" w:cs="仿宋_GB2312"/>
                <w:i w:val="0"/>
                <w:color w:val="000000"/>
                <w:kern w:val="0"/>
                <w:sz w:val="22"/>
                <w:szCs w:val="22"/>
                <w:highlight w:val="none"/>
                <w:u w:val="none"/>
                <w:lang w:val="en-US" w:eastAsia="zh-CN"/>
              </w:rPr>
              <w:t>《中华人民共和国计量法实施细则》第二十九条至第三十二条</w:t>
            </w:r>
          </w:p>
          <w:p>
            <w:pPr>
              <w:widowControl/>
              <w:jc w:val="left"/>
              <w:textAlignment w:val="center"/>
              <w:rPr>
                <w:rFonts w:hint="default" w:ascii="仿宋_GB2312" w:hAnsi="宋体" w:eastAsia="仿宋_GB2312" w:cs="仿宋_GB2312"/>
                <w:i w:val="0"/>
                <w:color w:val="000000"/>
                <w:kern w:val="0"/>
                <w:sz w:val="22"/>
                <w:szCs w:val="22"/>
                <w:highlight w:val="none"/>
                <w:u w:val="none"/>
                <w:lang w:val="en-US" w:eastAsia="zh-CN"/>
              </w:rPr>
            </w:pPr>
            <w:r>
              <w:rPr>
                <w:rFonts w:hint="default" w:ascii="仿宋_GB2312" w:hAnsi="宋体" w:eastAsia="仿宋_GB2312" w:cs="仿宋_GB2312"/>
                <w:i w:val="0"/>
                <w:color w:val="000000"/>
                <w:kern w:val="0"/>
                <w:sz w:val="22"/>
                <w:szCs w:val="22"/>
                <w:highlight w:val="none"/>
                <w:u w:val="none"/>
                <w:lang w:val="en-US" w:eastAsia="zh-CN"/>
              </w:rPr>
              <w:t>《产品质量法》第十九条 、第五十七条</w:t>
            </w:r>
          </w:p>
          <w:p>
            <w:pPr>
              <w:widowControl/>
              <w:jc w:val="left"/>
              <w:textAlignment w:val="center"/>
              <w:rPr>
                <w:rFonts w:hint="default" w:ascii="仿宋_GB2312" w:hAnsi="宋体" w:eastAsia="仿宋_GB2312" w:cs="仿宋_GB2312"/>
                <w:i w:val="0"/>
                <w:color w:val="000000"/>
                <w:kern w:val="0"/>
                <w:sz w:val="22"/>
                <w:szCs w:val="22"/>
                <w:highlight w:val="none"/>
                <w:u w:val="none"/>
                <w:lang w:val="en-US" w:eastAsia="zh-CN"/>
              </w:rPr>
            </w:pPr>
            <w:r>
              <w:rPr>
                <w:rFonts w:hint="default" w:ascii="仿宋_GB2312" w:hAnsi="宋体" w:eastAsia="仿宋_GB2312" w:cs="仿宋_GB2312"/>
                <w:i w:val="0"/>
                <w:color w:val="000000"/>
                <w:kern w:val="0"/>
                <w:sz w:val="22"/>
                <w:szCs w:val="22"/>
                <w:highlight w:val="none"/>
                <w:u w:val="none"/>
                <w:lang w:val="en-US" w:eastAsia="zh-CN"/>
              </w:rPr>
              <w:t>《检验检测机构资质认定管理办法》第三十条至第三十七条</w:t>
            </w:r>
          </w:p>
          <w:p>
            <w:pPr>
              <w:widowControl/>
              <w:jc w:val="left"/>
              <w:textAlignment w:val="center"/>
              <w:rPr>
                <w:rFonts w:hint="eastAsia" w:ascii="仿宋" w:hAnsi="仿宋" w:eastAsia="仿宋" w:cs="仿宋"/>
                <w:i w:val="0"/>
                <w:color w:val="000000"/>
                <w:sz w:val="24"/>
                <w:szCs w:val="24"/>
                <w:highlight w:val="none"/>
                <w:u w:val="none"/>
              </w:rPr>
            </w:pPr>
            <w:r>
              <w:rPr>
                <w:rFonts w:hint="default" w:ascii="仿宋_GB2312" w:hAnsi="宋体" w:eastAsia="仿宋_GB2312" w:cs="仿宋_GB2312"/>
                <w:i w:val="0"/>
                <w:color w:val="000000"/>
                <w:kern w:val="0"/>
                <w:sz w:val="22"/>
                <w:szCs w:val="22"/>
                <w:highlight w:val="none"/>
                <w:u w:val="none"/>
                <w:lang w:val="en-US" w:eastAsia="zh-CN"/>
              </w:rPr>
              <w:t>《检验检测机构监督管理办法》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 w:hRule="atLeast"/>
        </w:trPr>
        <w:tc>
          <w:tcPr>
            <w:tcW w:w="481"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仿宋" w:hAnsi="仿宋" w:eastAsia="仿宋" w:cs="仿宋"/>
                <w:i w:val="0"/>
                <w:color w:val="000000"/>
                <w:sz w:val="24"/>
                <w:szCs w:val="24"/>
                <w:u w:val="none"/>
                <w:lang w:val="en-US"/>
              </w:rPr>
            </w:pPr>
            <w:r>
              <w:rPr>
                <w:rFonts w:hint="eastAsia" w:ascii="仿宋_GB2312" w:hAnsi="宋体" w:eastAsia="仿宋_GB2312" w:cs="仿宋_GB2312"/>
                <w:i w:val="0"/>
                <w:color w:val="000000"/>
                <w:kern w:val="0"/>
                <w:sz w:val="22"/>
                <w:szCs w:val="22"/>
                <w:u w:val="none"/>
                <w:lang w:val="en-US" w:eastAsia="zh-CN"/>
              </w:rPr>
              <w:t>19</w:t>
            </w:r>
          </w:p>
        </w:tc>
        <w:tc>
          <w:tcPr>
            <w:tcW w:w="1016"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市场类标准监督检查</w:t>
            </w:r>
          </w:p>
        </w:tc>
        <w:tc>
          <w:tcPr>
            <w:tcW w:w="945"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企业标准自我声明监督检查</w:t>
            </w:r>
          </w:p>
        </w:tc>
        <w:tc>
          <w:tcPr>
            <w:tcW w:w="1185"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全市范围内在企业标准信息公共服务平台上自我声明公开的现行有效的企业标准</w:t>
            </w:r>
          </w:p>
        </w:tc>
        <w:tc>
          <w:tcPr>
            <w:tcW w:w="1515"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一般检查事项</w:t>
            </w:r>
          </w:p>
        </w:tc>
        <w:tc>
          <w:tcPr>
            <w:tcW w:w="129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网络检查、专业机构审查</w:t>
            </w:r>
          </w:p>
        </w:tc>
        <w:tc>
          <w:tcPr>
            <w:tcW w:w="147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《标准化法》第二十七条、第三十八条、第三十九条、第四十二条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31"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highlight w:val="none"/>
                <w:u w:val="none"/>
              </w:rPr>
            </w:pPr>
            <w:r>
              <w:rPr>
                <w:rFonts w:hint="default" w:ascii="仿宋_GB2312" w:hAnsi="宋体" w:eastAsia="仿宋_GB2312" w:cs="仿宋_GB2312"/>
                <w:i w:val="0"/>
                <w:color w:val="000000"/>
                <w:kern w:val="0"/>
                <w:sz w:val="22"/>
                <w:szCs w:val="22"/>
                <w:highlight w:val="none"/>
                <w:u w:val="none"/>
                <w:lang w:val="en-US" w:eastAsia="zh-CN"/>
              </w:rPr>
              <w:t>团体标准自我声明监督检查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highlight w:val="none"/>
                <w:u w:val="none"/>
              </w:rPr>
            </w:pPr>
            <w:r>
              <w:rPr>
                <w:rFonts w:hint="default" w:ascii="仿宋_GB2312" w:hAnsi="宋体" w:eastAsia="仿宋_GB2312" w:cs="仿宋_GB2312"/>
                <w:i w:val="0"/>
                <w:color w:val="000000"/>
                <w:kern w:val="0"/>
                <w:sz w:val="22"/>
                <w:szCs w:val="22"/>
                <w:highlight w:val="none"/>
                <w:u w:val="none"/>
                <w:lang w:val="en-US" w:eastAsia="zh-CN"/>
              </w:rPr>
              <w:t>全市范围内在全国团体标准信息平台上自我声明公开的现行有效的团体标准</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highlight w:val="none"/>
                <w:u w:val="none"/>
              </w:rPr>
            </w:pPr>
            <w:r>
              <w:rPr>
                <w:rFonts w:hint="default" w:ascii="仿宋_GB2312" w:hAnsi="宋体" w:eastAsia="仿宋_GB2312" w:cs="仿宋_GB2312"/>
                <w:i w:val="0"/>
                <w:color w:val="000000"/>
                <w:kern w:val="0"/>
                <w:sz w:val="22"/>
                <w:szCs w:val="22"/>
                <w:highlight w:val="none"/>
                <w:u w:val="none"/>
                <w:lang w:val="en-US" w:eastAsia="zh-CN"/>
              </w:rPr>
              <w:t>一般检查事项</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highlight w:val="none"/>
                <w:u w:val="none"/>
              </w:rPr>
            </w:pPr>
            <w:r>
              <w:rPr>
                <w:rFonts w:hint="default" w:ascii="仿宋_GB2312" w:hAnsi="宋体" w:eastAsia="仿宋_GB2312" w:cs="仿宋_GB2312"/>
                <w:i w:val="0"/>
                <w:color w:val="000000"/>
                <w:kern w:val="0"/>
                <w:sz w:val="22"/>
                <w:szCs w:val="22"/>
                <w:highlight w:val="none"/>
                <w:u w:val="none"/>
                <w:lang w:val="en-US" w:eastAsia="zh-CN"/>
              </w:rPr>
              <w:t>网络检查、专业机构审查</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highlight w:val="none"/>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highlight w:val="none"/>
                <w:u w:val="none"/>
              </w:rPr>
            </w:pPr>
            <w:r>
              <w:rPr>
                <w:rFonts w:hint="default" w:ascii="仿宋_GB2312" w:hAnsi="宋体" w:eastAsia="仿宋_GB2312" w:cs="仿宋_GB2312"/>
                <w:i w:val="0"/>
                <w:color w:val="000000"/>
                <w:kern w:val="0"/>
                <w:sz w:val="22"/>
                <w:szCs w:val="22"/>
                <w:highlight w:val="none"/>
                <w:u w:val="none"/>
                <w:lang w:val="en-US" w:eastAsia="zh-CN"/>
              </w:rPr>
              <w:t>《标准化法》第二十七条、第三十九条、第四十二条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5" w:hRule="atLeast"/>
        </w:trPr>
        <w:tc>
          <w:tcPr>
            <w:tcW w:w="48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i w:val="0"/>
                <w:color w:val="000000"/>
                <w:sz w:val="24"/>
                <w:szCs w:val="24"/>
                <w:u w:val="none"/>
                <w:lang w:val="en-US"/>
              </w:rPr>
            </w:pPr>
            <w:r>
              <w:rPr>
                <w:rFonts w:hint="eastAsia" w:ascii="仿宋_GB2312" w:hAnsi="宋体" w:eastAsia="仿宋_GB2312" w:cs="仿宋_GB2312"/>
                <w:i w:val="0"/>
                <w:color w:val="000000"/>
                <w:kern w:val="0"/>
                <w:sz w:val="22"/>
                <w:szCs w:val="22"/>
                <w:u w:val="none"/>
                <w:lang w:val="en-US" w:eastAsia="zh-CN"/>
              </w:rPr>
              <w:t>20</w:t>
            </w:r>
          </w:p>
        </w:tc>
        <w:tc>
          <w:tcPr>
            <w:tcW w:w="10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专利真实性监督检查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专利证书、专利文件或专利申请文件真实性的检查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各类市场主体、产品</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一般检查事项</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现场检查</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《专利法》 第六十</w:t>
            </w:r>
            <w:r>
              <w:rPr>
                <w:rFonts w:hint="eastAsia" w:ascii="仿宋_GB2312" w:hAnsi="宋体" w:eastAsia="仿宋_GB2312" w:cs="仿宋_GB2312"/>
                <w:i w:val="0"/>
                <w:color w:val="000000"/>
                <w:kern w:val="0"/>
                <w:sz w:val="22"/>
                <w:szCs w:val="22"/>
                <w:u w:val="none"/>
                <w:lang w:val="en-US" w:eastAsia="zh-CN"/>
              </w:rPr>
              <w:t>八</w:t>
            </w:r>
            <w:r>
              <w:rPr>
                <w:rFonts w:hint="default" w:ascii="仿宋_GB2312" w:hAnsi="宋体" w:eastAsia="仿宋_GB2312" w:cs="仿宋_GB2312"/>
                <w:i w:val="0"/>
                <w:color w:val="000000"/>
                <w:kern w:val="0"/>
                <w:sz w:val="22"/>
                <w:szCs w:val="22"/>
                <w:u w:val="none"/>
                <w:lang w:val="en-US" w:eastAsia="zh-CN"/>
              </w:rPr>
              <w:t>条</w:t>
            </w:r>
          </w:p>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《专利法实施细则》 第</w:t>
            </w:r>
            <w:r>
              <w:rPr>
                <w:rFonts w:hint="eastAsia" w:ascii="仿宋_GB2312" w:hAnsi="宋体" w:eastAsia="仿宋_GB2312" w:cs="仿宋_GB2312"/>
                <w:i w:val="0"/>
                <w:color w:val="000000"/>
                <w:kern w:val="0"/>
                <w:sz w:val="22"/>
                <w:szCs w:val="22"/>
                <w:u w:val="none"/>
                <w:lang w:val="en-US" w:eastAsia="zh-CN"/>
              </w:rPr>
              <w:t>一百零一</w:t>
            </w:r>
            <w:r>
              <w:rPr>
                <w:rFonts w:hint="default" w:ascii="仿宋_GB2312" w:hAnsi="宋体" w:eastAsia="仿宋_GB2312" w:cs="仿宋_GB2312"/>
                <w:i w:val="0"/>
                <w:color w:val="000000"/>
                <w:kern w:val="0"/>
                <w:sz w:val="22"/>
                <w:szCs w:val="22"/>
                <w:u w:val="none"/>
                <w:lang w:val="en-US" w:eastAsia="zh-CN"/>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3"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产品专利宣传真实性的检查</w:t>
            </w:r>
          </w:p>
        </w:tc>
        <w:tc>
          <w:tcPr>
            <w:tcW w:w="11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各类市场主体</w:t>
            </w:r>
          </w:p>
        </w:tc>
        <w:tc>
          <w:tcPr>
            <w:tcW w:w="15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一般检查事项</w:t>
            </w:r>
          </w:p>
        </w:tc>
        <w:tc>
          <w:tcPr>
            <w:tcW w:w="12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现场检查</w:t>
            </w:r>
          </w:p>
        </w:tc>
        <w:tc>
          <w:tcPr>
            <w:tcW w:w="14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6"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3" w:hRule="atLeast"/>
        </w:trPr>
        <w:tc>
          <w:tcPr>
            <w:tcW w:w="48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i w:val="0"/>
                <w:color w:val="000000"/>
                <w:sz w:val="24"/>
                <w:szCs w:val="24"/>
                <w:u w:val="none"/>
                <w:lang w:val="en-US"/>
              </w:rPr>
            </w:pPr>
            <w:r>
              <w:rPr>
                <w:rFonts w:hint="eastAsia" w:ascii="仿宋_GB2312" w:hAnsi="宋体" w:eastAsia="仿宋_GB2312" w:cs="仿宋_GB2312"/>
                <w:i w:val="0"/>
                <w:color w:val="000000"/>
                <w:kern w:val="0"/>
                <w:sz w:val="22"/>
                <w:szCs w:val="22"/>
                <w:u w:val="none"/>
                <w:lang w:val="en-US" w:eastAsia="zh-CN"/>
              </w:rPr>
              <w:t>21</w:t>
            </w:r>
          </w:p>
        </w:tc>
        <w:tc>
          <w:tcPr>
            <w:tcW w:w="10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商标使用行为的检查</w:t>
            </w: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商标使用行为的检查</w:t>
            </w:r>
          </w:p>
        </w:tc>
        <w:tc>
          <w:tcPr>
            <w:tcW w:w="11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企业、个体工商户、农民专业合作社</w:t>
            </w:r>
          </w:p>
        </w:tc>
        <w:tc>
          <w:tcPr>
            <w:tcW w:w="15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一般检查事项</w:t>
            </w:r>
          </w:p>
        </w:tc>
        <w:tc>
          <w:tcPr>
            <w:tcW w:w="12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现场抽查、书面检查</w:t>
            </w:r>
          </w:p>
        </w:tc>
        <w:tc>
          <w:tcPr>
            <w:tcW w:w="14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 xml:space="preserve">《商标法》第六条、第十条、第十四条第五款、第四十三条第二款、第四十九条第一款、第五十一条、第五十二条、第五十三条 </w:t>
            </w:r>
          </w:p>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《商标法实施条例》第七十一条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6"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10"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集体商标、证明商标（含地理标志）使用行为的检查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企业、个体工商户、农民专业合作社</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一般检查事项</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现场抽查、书面检查</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 xml:space="preserve">《商标法》第十六条 </w:t>
            </w:r>
          </w:p>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 xml:space="preserve">《商标法实施条例》第四条 </w:t>
            </w:r>
          </w:p>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《集体商标、证明商标注册和管理办法》第十七条、第十八条、第十九条、第二十条、第二十一条、第二十二条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商标印制行为的检查</w:t>
            </w:r>
          </w:p>
        </w:tc>
        <w:tc>
          <w:tcPr>
            <w:tcW w:w="11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企业、个体工商户、农民专业合作社</w:t>
            </w:r>
          </w:p>
        </w:tc>
        <w:tc>
          <w:tcPr>
            <w:tcW w:w="15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一般检查事项</w:t>
            </w:r>
          </w:p>
        </w:tc>
        <w:tc>
          <w:tcPr>
            <w:tcW w:w="12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现场抽查、书面检查</w:t>
            </w:r>
          </w:p>
        </w:tc>
        <w:tc>
          <w:tcPr>
            <w:tcW w:w="14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《商标印制管理办法》第三条、第四条、第五条、第六条、第七条、第八条、第九条、第十条、第十一条、第十二条、第十三条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5" w:hRule="atLeast"/>
        </w:trPr>
        <w:tc>
          <w:tcPr>
            <w:tcW w:w="4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5" w:hRule="atLeast"/>
        </w:trPr>
        <w:tc>
          <w:tcPr>
            <w:tcW w:w="4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_GB2312" w:hAnsi="宋体" w:eastAsia="仿宋_GB2312" w:cs="仿宋_GB2312"/>
                <w:i w:val="0"/>
                <w:color w:val="000000"/>
                <w:kern w:val="0"/>
                <w:sz w:val="22"/>
                <w:szCs w:val="22"/>
                <w:u w:val="none"/>
                <w:lang w:val="en-US" w:eastAsia="zh-CN"/>
              </w:rPr>
            </w:pPr>
            <w:r>
              <w:rPr>
                <w:rFonts w:hint="eastAsia" w:ascii="仿宋_GB2312" w:hAnsi="宋体" w:eastAsia="仿宋_GB2312" w:cs="仿宋_GB2312"/>
                <w:i w:val="0"/>
                <w:color w:val="000000"/>
                <w:kern w:val="0"/>
                <w:sz w:val="22"/>
                <w:szCs w:val="22"/>
                <w:u w:val="none"/>
                <w:lang w:val="en-US" w:eastAsia="zh-CN"/>
              </w:rPr>
              <w:t>22</w:t>
            </w:r>
          </w:p>
        </w:tc>
        <w:tc>
          <w:tcPr>
            <w:tcW w:w="10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eastAsia="zh-CN"/>
              </w:rPr>
              <w:t>地理标志保护产品专用标志使用行为的检查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eastAsia="zh-CN"/>
              </w:rPr>
              <w:t>地理标志保护产品专用标志使用行为的检查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各类市场主体</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仿宋_GB2312" w:hAnsi="等线" w:eastAsia="仿宋_GB2312" w:cs="仿宋_GB2312"/>
                <w:i w:val="0"/>
                <w:color w:val="000000"/>
                <w:kern w:val="0"/>
                <w:sz w:val="24"/>
                <w:szCs w:val="24"/>
                <w:u w:val="none"/>
                <w:lang w:val="en-US" w:eastAsia="zh-CN"/>
              </w:rPr>
            </w:pPr>
            <w:r>
              <w:rPr>
                <w:rFonts w:hint="default" w:ascii="仿宋_GB2312" w:hAnsi="等线" w:eastAsia="仿宋_GB2312" w:cs="仿宋_GB2312"/>
                <w:i w:val="0"/>
                <w:color w:val="000000"/>
                <w:kern w:val="0"/>
                <w:sz w:val="24"/>
                <w:szCs w:val="24"/>
                <w:u w:val="none"/>
                <w:lang w:val="en-US" w:eastAsia="zh-CN"/>
              </w:rPr>
              <w:t>一般检查事项</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仿宋_GB2312" w:hAnsi="等线" w:eastAsia="仿宋_GB2312" w:cs="仿宋_GB2312"/>
                <w:i w:val="0"/>
                <w:color w:val="000000"/>
                <w:kern w:val="0"/>
                <w:sz w:val="24"/>
                <w:szCs w:val="24"/>
                <w:u w:val="none"/>
                <w:lang w:val="en-US" w:eastAsia="zh-CN"/>
              </w:rPr>
            </w:pPr>
            <w:r>
              <w:rPr>
                <w:rFonts w:hint="default" w:ascii="仿宋_GB2312" w:hAnsi="等线" w:eastAsia="仿宋_GB2312" w:cs="仿宋_GB2312"/>
                <w:i w:val="0"/>
                <w:color w:val="000000"/>
                <w:sz w:val="24"/>
                <w:szCs w:val="24"/>
                <w:u w:val="none"/>
              </w:rPr>
              <w:t>现场检查</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仿宋_GB2312" w:hAnsi="宋体" w:eastAsia="仿宋_GB2312" w:cs="仿宋_GB2312"/>
                <w:i w:val="0"/>
                <w:color w:val="000000"/>
                <w:kern w:val="0"/>
                <w:sz w:val="22"/>
                <w:szCs w:val="22"/>
                <w:u w:val="none"/>
                <w:lang w:eastAsia="zh-CN"/>
              </w:rPr>
            </w:pPr>
            <w:r>
              <w:rPr>
                <w:rFonts w:hint="default" w:ascii="仿宋_GB2312" w:hAnsi="宋体" w:eastAsia="仿宋_GB2312" w:cs="仿宋_GB2312"/>
                <w:i w:val="0"/>
                <w:color w:val="000000"/>
                <w:kern w:val="0"/>
                <w:sz w:val="22"/>
                <w:szCs w:val="22"/>
                <w:u w:val="none"/>
                <w:lang w:eastAsia="zh-CN"/>
              </w:rPr>
              <w:t>《产品质量法》第三十一条、第三十八条、第五十三条</w:t>
            </w:r>
          </w:p>
          <w:p>
            <w:pPr>
              <w:rPr>
                <w:rFonts w:hint="default" w:ascii="仿宋_GB2312" w:hAnsi="宋体" w:eastAsia="仿宋_GB2312" w:cs="仿宋_GB2312"/>
                <w:i w:val="0"/>
                <w:color w:val="000000"/>
                <w:kern w:val="0"/>
                <w:sz w:val="22"/>
                <w:szCs w:val="22"/>
                <w:u w:val="none"/>
                <w:lang w:eastAsia="zh-CN"/>
              </w:rPr>
            </w:pPr>
            <w:r>
              <w:rPr>
                <w:rFonts w:hint="default" w:ascii="仿宋_GB2312" w:hAnsi="宋体" w:eastAsia="仿宋_GB2312" w:cs="仿宋_GB2312"/>
                <w:i w:val="0"/>
                <w:color w:val="000000"/>
                <w:kern w:val="0"/>
                <w:sz w:val="22"/>
                <w:szCs w:val="22"/>
                <w:u w:val="none"/>
                <w:lang w:eastAsia="zh-CN"/>
              </w:rPr>
              <w:t>《地理标志专用标志使用管理办法》第六</w:t>
            </w:r>
            <w:bookmarkStart w:id="0" w:name="_GoBack"/>
            <w:bookmarkEnd w:id="0"/>
            <w:r>
              <w:rPr>
                <w:rFonts w:hint="default" w:ascii="仿宋_GB2312" w:hAnsi="宋体" w:eastAsia="仿宋_GB2312" w:cs="仿宋_GB2312"/>
                <w:i w:val="0"/>
                <w:color w:val="000000"/>
                <w:kern w:val="0"/>
                <w:sz w:val="22"/>
                <w:szCs w:val="22"/>
                <w:u w:val="none"/>
                <w:lang w:eastAsia="zh-CN"/>
              </w:rPr>
              <w:t>条、第十条</w:t>
            </w:r>
          </w:p>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eastAsia="zh-CN"/>
              </w:rPr>
              <w:t>《地理标志产品保护</w:t>
            </w:r>
            <w:r>
              <w:rPr>
                <w:rFonts w:hint="eastAsia" w:ascii="仿宋_GB2312" w:hAnsi="宋体" w:eastAsia="仿宋_GB2312" w:cs="仿宋_GB2312"/>
                <w:i w:val="0"/>
                <w:color w:val="000000"/>
                <w:kern w:val="0"/>
                <w:sz w:val="22"/>
                <w:szCs w:val="22"/>
                <w:u w:val="none"/>
                <w:lang w:eastAsia="zh-CN"/>
              </w:rPr>
              <w:t>办法</w:t>
            </w:r>
            <w:r>
              <w:rPr>
                <w:rFonts w:hint="default" w:ascii="仿宋_GB2312" w:hAnsi="宋体" w:eastAsia="仿宋_GB2312" w:cs="仿宋_GB2312"/>
                <w:i w:val="0"/>
                <w:color w:val="000000"/>
                <w:kern w:val="0"/>
                <w:sz w:val="22"/>
                <w:szCs w:val="22"/>
                <w:u w:val="none"/>
                <w:lang w:eastAsia="zh-CN"/>
              </w:rPr>
              <w:t>》第</w:t>
            </w:r>
            <w:r>
              <w:rPr>
                <w:rFonts w:hint="eastAsia" w:ascii="仿宋_GB2312" w:hAnsi="宋体" w:eastAsia="仿宋_GB2312" w:cs="仿宋_GB2312"/>
                <w:i w:val="0"/>
                <w:color w:val="000000"/>
                <w:kern w:val="0"/>
                <w:sz w:val="22"/>
                <w:szCs w:val="22"/>
                <w:u w:val="none"/>
                <w:lang w:eastAsia="zh-CN"/>
              </w:rPr>
              <w:t>三十</w:t>
            </w:r>
            <w:r>
              <w:rPr>
                <w:rFonts w:hint="default" w:ascii="仿宋_GB2312" w:hAnsi="宋体" w:eastAsia="仿宋_GB2312" w:cs="仿宋_GB2312"/>
                <w:i w:val="0"/>
                <w:color w:val="000000"/>
                <w:kern w:val="0"/>
                <w:sz w:val="22"/>
                <w:szCs w:val="22"/>
                <w:u w:val="none"/>
                <w:lang w:eastAsia="zh-CN"/>
              </w:rPr>
              <w:t>条</w:t>
            </w:r>
            <w:r>
              <w:rPr>
                <w:rFonts w:hint="eastAsia" w:ascii="仿宋_GB2312" w:hAnsi="宋体" w:eastAsia="仿宋_GB2312" w:cs="仿宋_GB2312"/>
                <w:i w:val="0"/>
                <w:color w:val="000000"/>
                <w:kern w:val="0"/>
                <w:sz w:val="22"/>
                <w:szCs w:val="22"/>
                <w:u w:val="none"/>
                <w:lang w:eastAsia="zh-CN"/>
              </w:rPr>
              <w:t>、第三十二条、第三十三条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5" w:hRule="atLeast"/>
        </w:trPr>
        <w:tc>
          <w:tcPr>
            <w:tcW w:w="4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i w:val="0"/>
                <w:color w:val="000000"/>
                <w:sz w:val="24"/>
                <w:szCs w:val="24"/>
                <w:u w:val="none"/>
                <w:lang w:val="en-US"/>
              </w:rPr>
            </w:pPr>
            <w:r>
              <w:rPr>
                <w:rFonts w:hint="eastAsia" w:ascii="仿宋_GB2312" w:hAnsi="宋体" w:eastAsia="仿宋_GB2312" w:cs="仿宋_GB2312"/>
                <w:i w:val="0"/>
                <w:color w:val="000000"/>
                <w:kern w:val="0"/>
                <w:sz w:val="22"/>
                <w:szCs w:val="22"/>
                <w:u w:val="none"/>
                <w:lang w:val="en-US" w:eastAsia="zh-CN"/>
              </w:rPr>
              <w:t>23</w:t>
            </w:r>
          </w:p>
        </w:tc>
        <w:tc>
          <w:tcPr>
            <w:tcW w:w="10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商标代理行为的检查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商标代理行为的检查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经市场监管部门登记从事商标代理业务的服务机构（所）</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一般检查事项</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现场抽查、书面检查</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《商标法》第六十八条</w:t>
            </w:r>
          </w:p>
          <w:p>
            <w:pPr>
              <w:widowControl/>
              <w:jc w:val="left"/>
              <w:textAlignment w:val="center"/>
              <w:rPr>
                <w:rFonts w:hint="default" w:ascii="仿宋_GB2312" w:hAnsi="宋体" w:eastAsia="仿宋_GB2312" w:cs="仿宋_GB2312"/>
                <w:i w:val="0"/>
                <w:color w:val="000000"/>
                <w:kern w:val="0"/>
                <w:sz w:val="22"/>
                <w:szCs w:val="22"/>
                <w:u w:val="none"/>
                <w:lang w:val="en-US" w:eastAsia="zh-CN"/>
              </w:rPr>
            </w:pPr>
            <w:r>
              <w:rPr>
                <w:rFonts w:hint="default" w:ascii="仿宋_GB2312" w:hAnsi="宋体" w:eastAsia="仿宋_GB2312" w:cs="仿宋_GB2312"/>
                <w:i w:val="0"/>
                <w:color w:val="000000"/>
                <w:kern w:val="0"/>
                <w:sz w:val="22"/>
                <w:szCs w:val="22"/>
                <w:u w:val="none"/>
                <w:lang w:val="en-US" w:eastAsia="zh-CN"/>
              </w:rPr>
              <w:t>《商标法实施条例》第八十八条、第八十九条</w:t>
            </w:r>
          </w:p>
          <w:p>
            <w:pPr>
              <w:widowControl/>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rPr>
              <w:t>《商标代理监督管理规定》第二十四至三十六条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5" w:hRule="atLeast"/>
        </w:trPr>
        <w:tc>
          <w:tcPr>
            <w:tcW w:w="4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_GB2312" w:hAnsi="宋体" w:eastAsia="仿宋_GB2312" w:cs="仿宋_GB2312"/>
                <w:i w:val="0"/>
                <w:color w:val="000000"/>
                <w:kern w:val="0"/>
                <w:sz w:val="22"/>
                <w:szCs w:val="22"/>
                <w:u w:val="none"/>
                <w:lang w:val="en-US" w:eastAsia="zh-CN"/>
              </w:rPr>
            </w:pPr>
            <w:r>
              <w:rPr>
                <w:rFonts w:hint="eastAsia" w:ascii="仿宋_GB2312" w:hAnsi="宋体" w:eastAsia="仿宋_GB2312" w:cs="仿宋_GB2312"/>
                <w:i w:val="0"/>
                <w:color w:val="000000"/>
                <w:kern w:val="0"/>
                <w:sz w:val="22"/>
                <w:szCs w:val="22"/>
                <w:u w:val="none"/>
                <w:lang w:val="en-US" w:eastAsia="zh-CN"/>
              </w:rPr>
              <w:t>24</w:t>
            </w:r>
          </w:p>
        </w:tc>
        <w:tc>
          <w:tcPr>
            <w:tcW w:w="10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等线" w:eastAsia="仿宋_GB2312" w:cs="仿宋_GB2312"/>
                <w:color w:val="000000"/>
                <w:sz w:val="24"/>
                <w:lang w:eastAsia="zh-CN"/>
              </w:rPr>
            </w:pPr>
            <w:r>
              <w:rPr>
                <w:rFonts w:hint="eastAsia" w:ascii="仿宋_GB2312" w:hAnsi="等线" w:eastAsia="仿宋_GB2312" w:cs="仿宋_GB2312"/>
                <w:color w:val="000000"/>
                <w:sz w:val="24"/>
              </w:rPr>
              <w:t>（非生产企业类）化妆品注册人备案人化妆品经营情况的检查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等线" w:eastAsia="仿宋_GB2312" w:cs="仿宋_GB2312"/>
                <w:color w:val="000000"/>
                <w:sz w:val="24"/>
                <w:lang w:eastAsia="zh-CN"/>
              </w:rPr>
            </w:pPr>
            <w:r>
              <w:rPr>
                <w:rFonts w:hint="eastAsia" w:ascii="仿宋_GB2312" w:hAnsi="等线" w:eastAsia="仿宋_GB2312" w:cs="仿宋_GB2312"/>
                <w:color w:val="000000"/>
                <w:sz w:val="24"/>
                <w:lang w:eastAsia="zh-CN"/>
              </w:rPr>
              <w:t>对《化妆品监督管理条例》《化妆品生产经营监督管理办法》执行情况的检查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等线" w:eastAsia="仿宋_GB2312" w:cs="仿宋_GB2312"/>
                <w:color w:val="000000"/>
                <w:sz w:val="24"/>
              </w:rPr>
            </w:pPr>
            <w:r>
              <w:rPr>
                <w:rFonts w:hint="eastAsia" w:ascii="仿宋_GB2312" w:hAnsi="等线" w:eastAsia="仿宋_GB2312" w:cs="仿宋_GB2312"/>
                <w:color w:val="000000"/>
                <w:sz w:val="24"/>
              </w:rPr>
              <w:t>非生产类化妆品注册人、备案人</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宋体" w:eastAsia="仿宋_GB2312" w:cs="仿宋_GB2312"/>
                <w:i w:val="0"/>
                <w:color w:val="000000"/>
                <w:kern w:val="0"/>
                <w:sz w:val="22"/>
                <w:szCs w:val="22"/>
                <w:u w:val="none"/>
                <w:lang w:val="en-US" w:eastAsia="zh-CN"/>
              </w:rPr>
            </w:pPr>
            <w:r>
              <w:rPr>
                <w:rFonts w:hint="eastAsia" w:ascii="仿宋_GB2312" w:hAnsi="等线" w:eastAsia="仿宋_GB2312" w:cs="仿宋_GB2312"/>
                <w:color w:val="000000"/>
                <w:sz w:val="24"/>
              </w:rPr>
              <w:t>重点检查事项</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宋体" w:eastAsia="仿宋_GB2312" w:cs="仿宋_GB2312"/>
                <w:i w:val="0"/>
                <w:color w:val="000000"/>
                <w:kern w:val="0"/>
                <w:sz w:val="22"/>
                <w:szCs w:val="22"/>
                <w:u w:val="none"/>
                <w:lang w:val="en-US" w:eastAsia="zh-CN"/>
              </w:rPr>
            </w:pPr>
            <w:r>
              <w:rPr>
                <w:rFonts w:hint="eastAsia" w:ascii="仿宋_GB2312" w:hAnsi="等线" w:eastAsia="仿宋_GB2312" w:cs="仿宋_GB2312"/>
                <w:color w:val="000000"/>
                <w:sz w:val="24"/>
              </w:rPr>
              <w:t>现场检查</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4"/>
              </w:rPr>
            </w:pPr>
            <w:r>
              <w:rPr>
                <w:rFonts w:hint="default" w:ascii="仿宋_GB2312" w:hAnsi="宋体" w:eastAsia="仿宋_GB2312" w:cs="仿宋_GB2312"/>
                <w:i w:val="0"/>
                <w:color w:val="000000"/>
                <w:kern w:val="0"/>
                <w:sz w:val="22"/>
                <w:szCs w:val="22"/>
                <w:u w:val="none"/>
                <w:lang w:val="en-US" w:eastAsia="zh-CN"/>
              </w:rPr>
              <w:t>县级以上市场监管部门</w:t>
            </w:r>
          </w:p>
        </w:tc>
        <w:tc>
          <w:tcPr>
            <w:tcW w:w="6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等线" w:eastAsia="仿宋_GB2312" w:cs="仿宋_GB2312"/>
                <w:color w:val="000000"/>
                <w:sz w:val="24"/>
              </w:rPr>
            </w:pPr>
            <w:r>
              <w:rPr>
                <w:rFonts w:hint="eastAsia" w:ascii="仿宋_GB2312" w:hAnsi="等线" w:eastAsia="仿宋_GB2312" w:cs="仿宋_GB2312"/>
                <w:color w:val="000000"/>
                <w:sz w:val="24"/>
              </w:rPr>
              <w:t>《化妆品监督管理条例》《化妆品生产经营监督管理办法》相关条款</w:t>
            </w:r>
          </w:p>
        </w:tc>
      </w:tr>
    </w:tbl>
    <w:p>
      <w:pPr>
        <w:pStyle w:val="2"/>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right="0"/>
        <w:jc w:val="both"/>
        <w:rPr>
          <w:rFonts w:hint="eastAsia" w:ascii="仿宋" w:hAnsi="仿宋" w:eastAsia="仿宋" w:cs="仿宋"/>
          <w:i w:val="0"/>
          <w:caps w:val="0"/>
          <w:color w:val="333333"/>
          <w:spacing w:val="8"/>
          <w:sz w:val="24"/>
          <w:szCs w:val="24"/>
          <w:shd w:val="clear" w:color="auto" w:fill="FFFFFF"/>
        </w:rPr>
      </w:pPr>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3176E4"/>
    <w:rsid w:val="4A553035"/>
    <w:rsid w:val="50D10D7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6444</Words>
  <Characters>6460</Characters>
  <Lines>0</Lines>
  <Paragraphs>0</Paragraphs>
  <TotalTime>6</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2021-04-09T09:06:00Z</dcterms:created>
  <dc:creator>Z-✎</dc:creator>
  <cp:lastModifiedBy>Administrator</cp:lastModifiedBy>
  <cp:lastPrinted>2022-03-23T02:42:00Z</cp:lastPrinted>
  <dcterms:modified xsi:type="dcterms:W3CDTF">2024-03-20T02:03:05Z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0A8B23DBC5314B4D90E78C7BFDBA681D</vt:lpwstr>
  </property>
</Properties>
</file>